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>Objaśnienie  do Wieloletniej Prognozy Finansowej Gminy Krzynowłoga Mała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>na lata 2017-2033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708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>W Wieloletniej Prognozie Finansowej Gminy Krzynowłoga Mała na rok 2017 przyjęto:</w:t>
      </w:r>
    </w:p>
    <w:p w:rsidR="00496EB6" w:rsidRPr="00496EB6" w:rsidRDefault="00496EB6" w:rsidP="00496EB6">
      <w:pPr>
        <w:numPr>
          <w:ilvl w:val="0"/>
          <w:numId w:val="1"/>
        </w:numPr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>Dochody ogółem w kwocie 17.967.353,06 zł,</w:t>
      </w:r>
      <w:r w:rsidRPr="00496EB6">
        <w:rPr>
          <w:rFonts w:ascii="Book Antiqua" w:hAnsi="Book Antiqua" w:cs="Book Antiqua"/>
          <w:sz w:val="24"/>
          <w:szCs w:val="24"/>
        </w:rPr>
        <w:t xml:space="preserve"> w tym: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>- dochody bieżące w kwocie 15.506.157,12 zł – stanowią 86,3% planu dochodów ogółem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>- dochody majątkowe w kwocie 2.461.195,94 zł – stanowią 13,7% planu dochodów ogółem.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>W dochodach bieżących największy udział stanowi subwencja otrzymywana z Ministerstwa Finansów. Pozostałą kwotę dochodów bieżących stanowią dotacje i dochody własne, tj. z podatków i opłat lokalnych.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>W dochodach majątkowych największy udział stanowią dochody z dotacji  w ramach programów finansowanych z UE tj. kwota 1.919.034,76 zł. oraz  wpłat mieszkańców na partycypację w kosztach realizacji inwestycji. Pozostałe dochody majątkowe pochodzą z planow</w:t>
      </w:r>
      <w:r w:rsidR="005A05CC">
        <w:rPr>
          <w:rFonts w:ascii="Book Antiqua" w:hAnsi="Book Antiqua" w:cs="Book Antiqua"/>
          <w:sz w:val="24"/>
          <w:szCs w:val="24"/>
        </w:rPr>
        <w:t>a</w:t>
      </w:r>
      <w:r w:rsidRPr="00496EB6">
        <w:rPr>
          <w:rFonts w:ascii="Book Antiqua" w:hAnsi="Book Antiqua" w:cs="Book Antiqua"/>
          <w:sz w:val="24"/>
          <w:szCs w:val="24"/>
        </w:rPr>
        <w:t>nej sprzedaży mienia.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Book Antiqua" w:hAnsi="Book Antiqua" w:cs="Book Antiqua"/>
          <w:sz w:val="24"/>
          <w:szCs w:val="24"/>
        </w:rPr>
      </w:pPr>
    </w:p>
    <w:p w:rsidR="00496EB6" w:rsidRPr="00496EB6" w:rsidRDefault="00496EB6" w:rsidP="00496EB6">
      <w:pPr>
        <w:numPr>
          <w:ilvl w:val="0"/>
          <w:numId w:val="1"/>
        </w:numPr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>Wydatki ogółem w kwocie 17.950.377,83 zł,</w:t>
      </w:r>
      <w:r w:rsidRPr="00496EB6">
        <w:rPr>
          <w:rFonts w:ascii="Book Antiqua" w:hAnsi="Book Antiqua" w:cs="Book Antiqua"/>
          <w:sz w:val="24"/>
          <w:szCs w:val="24"/>
        </w:rPr>
        <w:t xml:space="preserve"> w tym: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>- wydatki bieżące bez wydatków na obsługę długu –14.812.943,83 zł (w tym: na wynagrodzenia i pochodne –6.036.600,29zł oraz na wydatki związane z funkcjonowaniem organów JST –1.736.325,79 zł)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>- wydatki bieżące na obsługę długu – 246.000,00 zł;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 xml:space="preserve">- wydatki majątkowe –2.891.434,00 zł, w tym: na projekty realizowane przy udziale środków, o których mowa w art. 5 ust. 1 </w:t>
      </w:r>
      <w:proofErr w:type="spellStart"/>
      <w:r w:rsidRPr="00496EB6">
        <w:rPr>
          <w:rFonts w:ascii="Book Antiqua" w:hAnsi="Book Antiqua" w:cs="Book Antiqua"/>
          <w:sz w:val="24"/>
          <w:szCs w:val="24"/>
        </w:rPr>
        <w:t>pkt</w:t>
      </w:r>
      <w:proofErr w:type="spellEnd"/>
      <w:r w:rsidRPr="00496EB6">
        <w:rPr>
          <w:rFonts w:ascii="Book Antiqua" w:hAnsi="Book Antiqua" w:cs="Book Antiqua"/>
          <w:sz w:val="24"/>
          <w:szCs w:val="24"/>
        </w:rPr>
        <w:t xml:space="preserve"> 2 i 3 –2.637.833,94 zł i na wydatki objęte limitem art.226 ust. 3 pkt. 4 </w:t>
      </w:r>
      <w:proofErr w:type="spellStart"/>
      <w:r w:rsidRPr="00496EB6">
        <w:rPr>
          <w:rFonts w:ascii="Book Antiqua" w:hAnsi="Book Antiqua" w:cs="Book Antiqua"/>
          <w:sz w:val="24"/>
          <w:szCs w:val="24"/>
        </w:rPr>
        <w:t>usfp</w:t>
      </w:r>
      <w:proofErr w:type="spellEnd"/>
      <w:r w:rsidRPr="00496EB6">
        <w:rPr>
          <w:rFonts w:ascii="Book Antiqua" w:hAnsi="Book Antiqua" w:cs="Book Antiqua"/>
          <w:sz w:val="24"/>
          <w:szCs w:val="24"/>
        </w:rPr>
        <w:t xml:space="preserve"> – 2.863.364,00 zł.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Book Antiqua" w:hAnsi="Book Antiqua" w:cs="Book Antiqua"/>
          <w:sz w:val="24"/>
          <w:szCs w:val="24"/>
        </w:rPr>
      </w:pP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ab/>
        <w:t xml:space="preserve">3. Wynik budżetu  (nadwyżka) wyniesie kwotę 16.975,23 zł </w:t>
      </w:r>
      <w:r w:rsidRPr="00496EB6">
        <w:rPr>
          <w:rFonts w:ascii="Book Antiqua" w:hAnsi="Book Antiqua" w:cs="Book Antiqua"/>
          <w:sz w:val="24"/>
          <w:szCs w:val="24"/>
        </w:rPr>
        <w:t xml:space="preserve">przeznaczony zostanie na spłatę </w:t>
      </w:r>
      <w:r w:rsidRPr="00496EB6">
        <w:rPr>
          <w:rFonts w:ascii="Times New Roman" w:hAnsi="Times New Roman" w:cs="Times New Roman"/>
          <w:sz w:val="24"/>
          <w:szCs w:val="24"/>
        </w:rPr>
        <w:t>wcześniej zaciągniętych zobowiązań z tytułu pożyczek i kredytów.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 xml:space="preserve">            4. Przychody budżetowe określono na kwotę 200.000,00 zł</w:t>
      </w:r>
      <w:r w:rsidRPr="00496EB6">
        <w:rPr>
          <w:rFonts w:ascii="Book Antiqua" w:hAnsi="Book Antiqua" w:cs="Book Antiqua"/>
          <w:sz w:val="24"/>
          <w:szCs w:val="24"/>
        </w:rPr>
        <w:t>, stanowiące kredyt, kt</w:t>
      </w:r>
      <w:r w:rsidR="005A05CC">
        <w:rPr>
          <w:rFonts w:ascii="Book Antiqua" w:hAnsi="Book Antiqua" w:cs="Book Antiqua"/>
          <w:sz w:val="24"/>
          <w:szCs w:val="24"/>
        </w:rPr>
        <w:t xml:space="preserve">óry przeznaczony zostanie na </w:t>
      </w:r>
      <w:r w:rsidRPr="00496EB6">
        <w:rPr>
          <w:rFonts w:ascii="Book Antiqua" w:hAnsi="Book Antiqua" w:cs="Book Antiqua"/>
          <w:sz w:val="24"/>
          <w:szCs w:val="24"/>
        </w:rPr>
        <w:t>spłatę wcześniej zaciągniętych  zobowiązań z tytułu pożyczek i kredytów.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Book Antiqua" w:hAnsi="Book Antiqua" w:cs="Book Antiqua"/>
          <w:sz w:val="24"/>
          <w:szCs w:val="24"/>
        </w:rPr>
      </w:pP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ab/>
      </w:r>
      <w:r w:rsidRPr="00496EB6">
        <w:rPr>
          <w:rFonts w:ascii="Book Antiqua" w:hAnsi="Book Antiqua" w:cs="Book Antiqua"/>
          <w:b/>
          <w:bCs/>
          <w:sz w:val="24"/>
          <w:szCs w:val="24"/>
        </w:rPr>
        <w:t>5. Rozchody budżetowe określono na kwotę 216.975,23 zł</w:t>
      </w:r>
      <w:r w:rsidRPr="00496EB6">
        <w:rPr>
          <w:rFonts w:ascii="Book Antiqua" w:hAnsi="Book Antiqua" w:cs="Book Antiqua"/>
          <w:sz w:val="24"/>
          <w:szCs w:val="24"/>
        </w:rPr>
        <w:t>, które zgodnie z zawartymi umowami stanowią spłatę kredytów i pożyczek zaciągniętych w minionych latach.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Book Antiqua" w:hAnsi="Book Antiqua" w:cs="Book Antiqua"/>
          <w:sz w:val="24"/>
          <w:szCs w:val="24"/>
        </w:rPr>
      </w:pP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708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>6. Kwota długu pozostała do spłaty wyniesie 7.117.755,00 zł</w:t>
      </w:r>
      <w:r w:rsidRPr="00496EB6">
        <w:rPr>
          <w:rFonts w:ascii="Book Antiqua" w:hAnsi="Book Antiqua" w:cs="Book Antiqua"/>
          <w:sz w:val="24"/>
          <w:szCs w:val="24"/>
        </w:rPr>
        <w:t>, tj. 39,6% ogólnej kwoty dochodów – są to obligacje komunale, kredyty i pożyczki zaciągnięte w minionych latach oraz planowane w roku 2017.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6EB6">
        <w:rPr>
          <w:rFonts w:ascii="Times New Roman" w:hAnsi="Times New Roman" w:cs="Times New Roman"/>
          <w:sz w:val="24"/>
          <w:szCs w:val="24"/>
          <w:u w:val="single"/>
        </w:rPr>
        <w:t xml:space="preserve">Kwota długu ponadto obejmuje zobowiązania tytułem umów nienazwanych na kwotę </w:t>
      </w:r>
      <w:r w:rsidRPr="00496EB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33.600,06 zł, </w:t>
      </w:r>
      <w:r w:rsidRPr="00496EB6">
        <w:rPr>
          <w:rFonts w:ascii="Times New Roman" w:hAnsi="Times New Roman" w:cs="Times New Roman"/>
          <w:sz w:val="24"/>
          <w:szCs w:val="24"/>
          <w:u w:val="single"/>
        </w:rPr>
        <w:t>której ostateczna spłata dokona się z wydatków budżetu w roku 2017.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6EB6" w:rsidRPr="00496EB6" w:rsidRDefault="00496EB6" w:rsidP="00496EB6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7. </w:t>
      </w:r>
      <w:r w:rsidRPr="00496EB6">
        <w:rPr>
          <w:rFonts w:ascii="Book Antiqua" w:hAnsi="Book Antiqua" w:cs="Book Antiqua"/>
          <w:b/>
          <w:bCs/>
          <w:sz w:val="24"/>
          <w:szCs w:val="24"/>
        </w:rPr>
        <w:t>Wskaźnik planowanej łącznej kwoty spłaty zobowiązań w 2017 roku</w:t>
      </w:r>
      <w:r w:rsidRPr="00496EB6">
        <w:rPr>
          <w:rFonts w:ascii="Book Antiqua" w:hAnsi="Book Antiqua" w:cs="Book Antiqua"/>
          <w:sz w:val="24"/>
          <w:szCs w:val="24"/>
        </w:rPr>
        <w:t xml:space="preserve"> (o której mowa w art. 243 ust.1 </w:t>
      </w:r>
      <w:proofErr w:type="spellStart"/>
      <w:r w:rsidRPr="00496EB6">
        <w:rPr>
          <w:rFonts w:ascii="Book Antiqua" w:hAnsi="Book Antiqua" w:cs="Book Antiqua"/>
          <w:sz w:val="24"/>
          <w:szCs w:val="24"/>
        </w:rPr>
        <w:t>uofp</w:t>
      </w:r>
      <w:proofErr w:type="spellEnd"/>
      <w:r w:rsidRPr="00496EB6">
        <w:rPr>
          <w:rFonts w:ascii="Book Antiqua" w:hAnsi="Book Antiqua" w:cs="Book Antiqua"/>
          <w:sz w:val="24"/>
          <w:szCs w:val="24"/>
        </w:rPr>
        <w:t xml:space="preserve"> do dochodów bez uwzględnienia zobowiązań związku współtworzonego przez </w:t>
      </w:r>
      <w:proofErr w:type="spellStart"/>
      <w:r w:rsidRPr="00496EB6">
        <w:rPr>
          <w:rFonts w:ascii="Book Antiqua" w:hAnsi="Book Antiqua" w:cs="Book Antiqua"/>
          <w:sz w:val="24"/>
          <w:szCs w:val="24"/>
        </w:rPr>
        <w:t>jst</w:t>
      </w:r>
      <w:proofErr w:type="spellEnd"/>
      <w:r w:rsidRPr="00496EB6">
        <w:rPr>
          <w:rFonts w:ascii="Book Antiqua" w:hAnsi="Book Antiqua" w:cs="Book Antiqua"/>
          <w:sz w:val="24"/>
          <w:szCs w:val="24"/>
        </w:rPr>
        <w:t xml:space="preserve">. i bez uwzględniania ustawowych wyłączeń) wyniesie 2,58%, kwota spłaty zobowiązań w 2017 roku (o której mowa w art. 243 ust.1 </w:t>
      </w:r>
      <w:proofErr w:type="spellStart"/>
      <w:r w:rsidRPr="00496EB6">
        <w:rPr>
          <w:rFonts w:ascii="Book Antiqua" w:hAnsi="Book Antiqua" w:cs="Book Antiqua"/>
          <w:sz w:val="24"/>
          <w:szCs w:val="24"/>
        </w:rPr>
        <w:t>uofp</w:t>
      </w:r>
      <w:proofErr w:type="spellEnd"/>
      <w:r w:rsidRPr="00496EB6">
        <w:rPr>
          <w:rFonts w:ascii="Book Antiqua" w:hAnsi="Book Antiqua" w:cs="Book Antiqua"/>
          <w:sz w:val="24"/>
          <w:szCs w:val="24"/>
        </w:rPr>
        <w:t xml:space="preserve"> do dochodów po uwzględnieniu zobowiązań związku współtworzonego przez </w:t>
      </w:r>
      <w:proofErr w:type="spellStart"/>
      <w:r w:rsidRPr="00496EB6">
        <w:rPr>
          <w:rFonts w:ascii="Book Antiqua" w:hAnsi="Book Antiqua" w:cs="Book Antiqua"/>
          <w:sz w:val="24"/>
          <w:szCs w:val="24"/>
        </w:rPr>
        <w:t>jst</w:t>
      </w:r>
      <w:proofErr w:type="spellEnd"/>
      <w:r w:rsidRPr="00496EB6">
        <w:rPr>
          <w:rFonts w:ascii="Book Antiqua" w:hAnsi="Book Antiqua" w:cs="Book Antiqua"/>
          <w:sz w:val="24"/>
          <w:szCs w:val="24"/>
        </w:rPr>
        <w:t>. oraz po uwzględnieniu ustawowych wyłączeń) wyniesie 2,58%. Dopuszczalny wskaźnik spłaty zobowiązań określony w art. 234 ustawy, po uwzględnieniu ustawowych wyłączeń obliczony w oparciu o wykonanie roku poprzedzającego pierwszy rok prognozy wyniesie 3,49 %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Book Antiqua" w:hAnsi="Book Antiqua" w:cs="Book Antiqua"/>
          <w:sz w:val="24"/>
          <w:szCs w:val="24"/>
        </w:rPr>
      </w:pP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>Przy kształtowaniu poziomu dochodów i wydatków na lata następne kierowano się prognozowanym tempem wzrostu gospodarczego i poziomem inflacji.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>Planuje się aby budżet Gminy Krzynowłoga Mała na koniec każdego roku zamykał się nadwyżką budżetową, która będzie przeznaczona na spłatę wcześniej zaciągniętych zobowiązań.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center"/>
        <w:rPr>
          <w:rFonts w:ascii="Book Antiqua" w:hAnsi="Book Antiqua" w:cs="Book Antiqua"/>
          <w:b/>
          <w:bCs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>PRZEDSIĘWZIĘCIA NA LATA 2017-2018</w:t>
      </w:r>
    </w:p>
    <w:p w:rsidR="00496EB6" w:rsidRPr="00496EB6" w:rsidRDefault="00496EB6" w:rsidP="00496EB6">
      <w:pPr>
        <w:numPr>
          <w:ilvl w:val="0"/>
          <w:numId w:val="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Book Antiqua" w:hAnsi="Book Antiqua" w:cs="Book Antiqua"/>
          <w:b/>
          <w:bCs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>WYDATKI MAJĄTKOWE</w:t>
      </w:r>
    </w:p>
    <w:p w:rsidR="00496EB6" w:rsidRPr="00496EB6" w:rsidRDefault="00496EB6" w:rsidP="00496EB6">
      <w:pPr>
        <w:widowControl w:val="0"/>
        <w:tabs>
          <w:tab w:val="left" w:pos="204"/>
          <w:tab w:val="left" w:pos="9075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</w:p>
    <w:p w:rsidR="00496EB6" w:rsidRPr="00496EB6" w:rsidRDefault="00496EB6" w:rsidP="00496EB6">
      <w:pPr>
        <w:widowControl w:val="0"/>
        <w:tabs>
          <w:tab w:val="left" w:pos="204"/>
          <w:tab w:val="left" w:pos="9075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/>
          <w:bCs/>
          <w:i/>
          <w:iCs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i/>
          <w:iCs/>
          <w:sz w:val="24"/>
          <w:szCs w:val="24"/>
        </w:rPr>
        <w:t xml:space="preserve">1.1.    Projekty, programy i zadania związane z programami realizowanymi z udziałem środków, o których mowa  w art. 5 ust.1 </w:t>
      </w:r>
      <w:proofErr w:type="spellStart"/>
      <w:r w:rsidRPr="00496EB6">
        <w:rPr>
          <w:rFonts w:ascii="Book Antiqua" w:hAnsi="Book Antiqua" w:cs="Book Antiqua"/>
          <w:b/>
          <w:bCs/>
          <w:i/>
          <w:iCs/>
          <w:sz w:val="24"/>
          <w:szCs w:val="24"/>
        </w:rPr>
        <w:t>pkt</w:t>
      </w:r>
      <w:proofErr w:type="spellEnd"/>
      <w:r w:rsidRPr="00496EB6">
        <w:rPr>
          <w:rFonts w:ascii="Book Antiqua" w:hAnsi="Book Antiqua" w:cs="Book Antiqua"/>
          <w:b/>
          <w:bCs/>
          <w:i/>
          <w:iCs/>
          <w:sz w:val="24"/>
          <w:szCs w:val="24"/>
        </w:rPr>
        <w:t xml:space="preserve"> 1 i 2 </w:t>
      </w:r>
      <w:proofErr w:type="spellStart"/>
      <w:r w:rsidRPr="00496EB6">
        <w:rPr>
          <w:rFonts w:ascii="Book Antiqua" w:hAnsi="Book Antiqua" w:cs="Book Antiqua"/>
          <w:b/>
          <w:bCs/>
          <w:i/>
          <w:iCs/>
          <w:sz w:val="24"/>
          <w:szCs w:val="24"/>
        </w:rPr>
        <w:t>uofp</w:t>
      </w:r>
      <w:proofErr w:type="spellEnd"/>
      <w:r w:rsidRPr="00496EB6">
        <w:rPr>
          <w:rFonts w:ascii="Book Antiqua" w:hAnsi="Book Antiqua" w:cs="Book Antiqua"/>
          <w:b/>
          <w:bCs/>
          <w:i/>
          <w:iCs/>
          <w:sz w:val="24"/>
          <w:szCs w:val="24"/>
        </w:rPr>
        <w:t>.</w:t>
      </w:r>
    </w:p>
    <w:p w:rsidR="00496EB6" w:rsidRPr="00496EB6" w:rsidRDefault="00496EB6" w:rsidP="00496EB6">
      <w:pPr>
        <w:widowControl w:val="0"/>
        <w:tabs>
          <w:tab w:val="left" w:pos="204"/>
          <w:tab w:val="left" w:pos="9075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/>
          <w:bCs/>
          <w:i/>
          <w:iCs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i/>
          <w:iCs/>
          <w:sz w:val="24"/>
          <w:szCs w:val="24"/>
        </w:rPr>
        <w:t>1.1.1.</w:t>
      </w:r>
    </w:p>
    <w:p w:rsidR="00496EB6" w:rsidRPr="00496EB6" w:rsidRDefault="00496EB6" w:rsidP="00496EB6">
      <w:pPr>
        <w:widowControl w:val="0"/>
        <w:tabs>
          <w:tab w:val="left" w:pos="204"/>
          <w:tab w:val="left" w:pos="9075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/>
          <w:bCs/>
          <w:i/>
          <w:iCs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 xml:space="preserve">- </w:t>
      </w:r>
      <w:r w:rsidRPr="00496EB6">
        <w:rPr>
          <w:rFonts w:ascii="Times New Roman" w:hAnsi="Times New Roman" w:cs="Times New Roman"/>
          <w:sz w:val="24"/>
          <w:szCs w:val="24"/>
        </w:rPr>
        <w:t>Budowa systemu wczesnego ostrzegania przed zjawiskami katastrofalnymi złożonego z zestawu syren alarmowych wraz z wyposażeniem- mające na celu poprawę bezpieczeństwa mieszkańców gminy Krzynowłoga Mała. Limit wydatków bieżących przedsięwzięcia planowanego do realizacji w latach 2016-2017 zamyka się kwotą 200 zł.</w:t>
      </w:r>
      <w:r w:rsidRPr="00496EB6">
        <w:rPr>
          <w:rFonts w:ascii="Book Antiqua" w:hAnsi="Book Antiqua" w:cs="Book Antiqua"/>
          <w:i/>
          <w:iCs/>
          <w:sz w:val="24"/>
          <w:szCs w:val="24"/>
        </w:rPr>
        <w:t>(2017 r. –200,00zł).</w:t>
      </w:r>
    </w:p>
    <w:p w:rsidR="00496EB6" w:rsidRPr="00496EB6" w:rsidRDefault="00496EB6" w:rsidP="00496EB6">
      <w:pPr>
        <w:widowControl w:val="0"/>
        <w:tabs>
          <w:tab w:val="left" w:pos="10395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>1.1.2</w:t>
      </w:r>
      <w:r w:rsidRPr="00496EB6">
        <w:rPr>
          <w:rFonts w:ascii="Book Antiqua" w:hAnsi="Book Antiqua" w:cs="Book Antiqua"/>
          <w:sz w:val="24"/>
          <w:szCs w:val="24"/>
        </w:rPr>
        <w:t>.</w:t>
      </w:r>
      <w:r w:rsidRPr="00496EB6">
        <w:rPr>
          <w:rFonts w:ascii="Calibri" w:hAnsi="Calibri" w:cs="Calibri"/>
          <w:sz w:val="24"/>
          <w:szCs w:val="24"/>
        </w:rPr>
        <w:t xml:space="preserve"> 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Times New Roman" w:hAnsi="Times New Roman" w:cs="Times New Roman"/>
          <w:sz w:val="24"/>
          <w:szCs w:val="24"/>
        </w:rPr>
        <w:t xml:space="preserve">- Przebudowa systemu uzdatniania wody w SUW w Krzynowłodze Małej- poprawa jakości wody pitnej. Przedsięwzięcie realizowane w latach 2016-2017 w łącznej kwocie 632.000 zł </w:t>
      </w:r>
    </w:p>
    <w:p w:rsidR="00496EB6" w:rsidRPr="00496EB6" w:rsidRDefault="00496EB6" w:rsidP="00496E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 xml:space="preserve">- </w:t>
      </w:r>
      <w:r w:rsidRPr="00496EB6">
        <w:rPr>
          <w:rFonts w:ascii="Times New Roman" w:hAnsi="Times New Roman" w:cs="Times New Roman"/>
          <w:sz w:val="24"/>
          <w:szCs w:val="24"/>
        </w:rPr>
        <w:t xml:space="preserve">Budowa systemu wczesnego ostrzegania przed zjawiskami katastrofalnymi złożonego z zestawu syren alarmowych wraz z wyposażeniem- mające na celu poprawę bezpieczeństwa mieszkańców gminy Krzynowłoga Mała. Limit wydatków majątkowych przedsięwzięcia planowanego do realizacji w latach 2016-2017 zamyka się kwotą 27.028 zł. </w:t>
      </w:r>
      <w:r w:rsidRPr="00496EB6">
        <w:rPr>
          <w:rFonts w:ascii="Book Antiqua" w:hAnsi="Book Antiqua" w:cs="Book Antiqua"/>
          <w:i/>
          <w:iCs/>
          <w:sz w:val="24"/>
          <w:szCs w:val="24"/>
        </w:rPr>
        <w:t>(2017 r. –27.028,0zł).</w:t>
      </w:r>
    </w:p>
    <w:p w:rsidR="00496EB6" w:rsidRPr="00496EB6" w:rsidRDefault="00496EB6" w:rsidP="00496EB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EB6">
        <w:rPr>
          <w:rFonts w:ascii="Times New Roman" w:hAnsi="Times New Roman" w:cs="Times New Roman"/>
          <w:sz w:val="24"/>
          <w:szCs w:val="24"/>
        </w:rPr>
        <w:t xml:space="preserve">- Partnerstwo dla energetyki odnawialnej w Gminach Jednorożec i Krzynowłoga Mała, poprzez budowę instalacji odnawialnych źródeł energii w budynkach użyteczności publicznej oraz budynkach mieszkalnych mieszkańców gmin i partnerów- celem jest </w:t>
      </w:r>
      <w:r w:rsidRPr="00496EB6">
        <w:rPr>
          <w:rFonts w:ascii="Book Antiqua" w:hAnsi="Book Antiqua" w:cs="Book Antiqua"/>
          <w:sz w:val="24"/>
          <w:szCs w:val="24"/>
        </w:rPr>
        <w:t>budowa instalacji odnawialnych źródeł energii.</w:t>
      </w:r>
      <w:r w:rsidRPr="00496EB6">
        <w:rPr>
          <w:rFonts w:ascii="Arial" w:hAnsi="Arial" w:cs="Arial"/>
          <w:i/>
          <w:iCs/>
          <w:sz w:val="24"/>
          <w:szCs w:val="24"/>
        </w:rPr>
        <w:t xml:space="preserve"> </w:t>
      </w:r>
      <w:r w:rsidRPr="00496EB6">
        <w:rPr>
          <w:rFonts w:ascii="Times New Roman" w:hAnsi="Times New Roman" w:cs="Times New Roman"/>
          <w:sz w:val="24"/>
          <w:szCs w:val="24"/>
        </w:rPr>
        <w:t xml:space="preserve"> Przedsięwzięcie realizowane w latach 2016-2018 w łącznej kwocie 2.041.305,94zł 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/>
          <w:bCs/>
          <w:i/>
          <w:iCs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 xml:space="preserve">1.3. </w:t>
      </w:r>
      <w:r w:rsidRPr="00496EB6">
        <w:rPr>
          <w:rFonts w:ascii="Book Antiqua" w:hAnsi="Book Antiqua" w:cs="Book Antiqua"/>
          <w:b/>
          <w:bCs/>
          <w:i/>
          <w:iCs/>
          <w:sz w:val="24"/>
          <w:szCs w:val="24"/>
        </w:rPr>
        <w:t>Projekty, programy i zadania pozostałe</w:t>
      </w:r>
    </w:p>
    <w:p w:rsidR="00496EB6" w:rsidRPr="00496EB6" w:rsidRDefault="00496EB6" w:rsidP="00496E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96EB6">
        <w:rPr>
          <w:rFonts w:ascii="Times New Roman" w:hAnsi="Times New Roman" w:cs="Times New Roman"/>
          <w:b/>
          <w:bCs/>
          <w:sz w:val="24"/>
          <w:szCs w:val="24"/>
        </w:rPr>
        <w:t xml:space="preserve">1.3.1. </w:t>
      </w:r>
    </w:p>
    <w:p w:rsidR="00496EB6" w:rsidRPr="00496EB6" w:rsidRDefault="005A05CC" w:rsidP="00496EB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Forum Sekr</w:t>
      </w:r>
      <w:r w:rsidR="00496EB6" w:rsidRPr="00496EB6">
        <w:rPr>
          <w:rFonts w:ascii="Times New Roman" w:hAnsi="Times New Roman" w:cs="Times New Roman"/>
          <w:color w:val="000000"/>
          <w:sz w:val="24"/>
          <w:szCs w:val="24"/>
        </w:rPr>
        <w:t xml:space="preserve">etarzy - przedsięwzięcie, którego celem jest organizacja szkoleń w ramach kształcenia ustawicznego. Zadanie realizowane w latach 2015 - 2018 w łącznej kwocie </w:t>
      </w:r>
      <w:r w:rsidR="00496EB6" w:rsidRPr="00496EB6">
        <w:rPr>
          <w:rFonts w:ascii="Times New Roman" w:hAnsi="Times New Roman" w:cs="Times New Roman"/>
          <w:color w:val="000000"/>
          <w:sz w:val="24"/>
          <w:szCs w:val="24"/>
        </w:rPr>
        <w:lastRenderedPageBreak/>
        <w:t>7.920,00 zł, w tym w roku 2017 - 1.980,00 zł.</w:t>
      </w:r>
    </w:p>
    <w:p w:rsidR="00496EB6" w:rsidRPr="00496EB6" w:rsidRDefault="00496EB6" w:rsidP="00496EB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6EB6">
        <w:rPr>
          <w:rFonts w:ascii="Times New Roman" w:hAnsi="Times New Roman" w:cs="Times New Roman"/>
          <w:color w:val="000000"/>
          <w:sz w:val="24"/>
          <w:szCs w:val="24"/>
        </w:rPr>
        <w:t>- Studium uwarunkowań i kierunków zagospodarowania przestrzennego Gminy Krzynowłoga Mała- przedsięwzięcie mające na celu przygotowanie i opracowanie dokumentacji. Zadanie realizowane w latach 2016 - 201 w łącznej kwocie 49.000,00 zł, w tym w roku 2017 - 36.750,00 zł.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b/>
          <w:bCs/>
          <w:sz w:val="24"/>
          <w:szCs w:val="24"/>
        </w:rPr>
      </w:pPr>
      <w:r w:rsidRPr="00496EB6">
        <w:rPr>
          <w:rFonts w:ascii="Book Antiqua" w:hAnsi="Book Antiqua" w:cs="Book Antiqua"/>
          <w:b/>
          <w:bCs/>
          <w:sz w:val="24"/>
          <w:szCs w:val="24"/>
        </w:rPr>
        <w:t xml:space="preserve">1.3.2. 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>- Zakup mebli i wyposażenia Urzędu Gminy</w:t>
      </w:r>
      <w:r w:rsidRPr="00496EB6">
        <w:rPr>
          <w:rFonts w:ascii="Book Antiqua" w:hAnsi="Book Antiqua" w:cs="Book Antiqua"/>
          <w:sz w:val="24"/>
          <w:szCs w:val="24"/>
        </w:rPr>
        <w:tab/>
        <w:t xml:space="preserve">- celem jest poprawa warunków pracy i obsługi interesantów. Przedsięwzięcie realizowane w latach 2011-2017 w łącznej kwocie 209.000,00 zł </w:t>
      </w:r>
      <w:r w:rsidRPr="00496EB6">
        <w:rPr>
          <w:rFonts w:ascii="Book Antiqua" w:hAnsi="Book Antiqua" w:cs="Book Antiqua"/>
          <w:i/>
          <w:iCs/>
          <w:sz w:val="24"/>
          <w:szCs w:val="24"/>
        </w:rPr>
        <w:t>(2017 r. –33.600,06 zł).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 xml:space="preserve">- Termomodernizacja budynku Szkoły Podstawowej w Ulatowie Adamach-celem jest ograniczenie emisji energii cieplnej. Przedsięwzięcie realizowane w latach 2016-2017 w łącznej kwocie 150.000 zł. </w:t>
      </w:r>
      <w:r w:rsidRPr="00496EB6">
        <w:rPr>
          <w:rFonts w:ascii="Book Antiqua" w:hAnsi="Book Antiqua" w:cs="Book Antiqua"/>
          <w:i/>
          <w:iCs/>
          <w:sz w:val="24"/>
          <w:szCs w:val="24"/>
        </w:rPr>
        <w:t>(2017 r. –100.000,0zł).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 xml:space="preserve">- Termomodernizacja budynku świetlicy wiejskiej w Świniarach - celem jest ograniczenie emisji energii cieplnej. Przedsięwzięcie realizowane w latach 2016-2017 w łącznej kwocie 50.000 zł. </w:t>
      </w:r>
      <w:r w:rsidRPr="00496EB6">
        <w:rPr>
          <w:rFonts w:ascii="Book Antiqua" w:hAnsi="Book Antiqua" w:cs="Book Antiqua"/>
          <w:i/>
          <w:iCs/>
          <w:sz w:val="24"/>
          <w:szCs w:val="24"/>
        </w:rPr>
        <w:t>(2017 r. –20.000,0zł).</w:t>
      </w:r>
    </w:p>
    <w:p w:rsidR="00496EB6" w:rsidRPr="00496EB6" w:rsidRDefault="00496EB6" w:rsidP="00496E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Book Antiqua"/>
          <w:sz w:val="24"/>
          <w:szCs w:val="24"/>
        </w:rPr>
      </w:pPr>
      <w:r w:rsidRPr="00496EB6">
        <w:rPr>
          <w:rFonts w:ascii="Book Antiqua" w:hAnsi="Book Antiqua" w:cs="Book Antiqua"/>
          <w:sz w:val="24"/>
          <w:szCs w:val="24"/>
        </w:rPr>
        <w:t>- Rozbudowa oświetlenia ulicznego na terenie Gminy Krzynowłoga Mała- zwiększenie bezpieczeństwa mieszkańców. Przedsięwzięcie realizowane w latach 2015-2017 w łącznej kwocie 62.569,37 zł.</w:t>
      </w:r>
      <w:r w:rsidRPr="00496EB6">
        <w:rPr>
          <w:rFonts w:ascii="Book Antiqua" w:hAnsi="Book Antiqua" w:cs="Book Antiqua"/>
          <w:i/>
          <w:iCs/>
          <w:sz w:val="24"/>
          <w:szCs w:val="24"/>
        </w:rPr>
        <w:t>(2017 r. –33.00,0zł).</w:t>
      </w:r>
    </w:p>
    <w:p w:rsidR="00496EB6" w:rsidRPr="00496EB6" w:rsidRDefault="00496EB6" w:rsidP="00496EB6">
      <w:pPr>
        <w:widowControl w:val="0"/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sz w:val="24"/>
          <w:szCs w:val="24"/>
        </w:rPr>
      </w:pPr>
    </w:p>
    <w:sectPr w:rsidR="00496EB6" w:rsidRPr="00496EB6" w:rsidSect="009A270C">
      <w:pgSz w:w="11909" w:h="16834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1068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1428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1788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2148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2508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2868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."/>
      <w:lvlJc w:val="left"/>
      <w:pPr>
        <w:ind w:left="3588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."/>
      <w:lvlJc w:val="left"/>
      <w:pPr>
        <w:ind w:left="3948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ascii="Book Antiqua" w:hAnsi="Book Antiqua" w:cs="Book Antiqua"/>
        <w:b/>
        <w:bCs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96EB6"/>
    <w:rsid w:val="00496EB6"/>
    <w:rsid w:val="005A0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496EB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99"/>
    <w:qFormat/>
    <w:rsid w:val="00496EB6"/>
    <w:pPr>
      <w:autoSpaceDE w:val="0"/>
      <w:autoSpaceDN w:val="0"/>
      <w:adjustRightInd w:val="0"/>
      <w:ind w:left="720"/>
    </w:pPr>
    <w:rPr>
      <w:rFonts w:ascii="Calibri" w:hAnsi="Calibri" w:cs="Calibri"/>
    </w:rPr>
  </w:style>
  <w:style w:type="paragraph" w:styleId="Tekstpodstawowywcity2">
    <w:name w:val="Body Text Indent 2"/>
    <w:basedOn w:val="Normalny"/>
    <w:link w:val="Tekstpodstawowywcity2Znak"/>
    <w:uiPriority w:val="99"/>
    <w:rsid w:val="00496EB6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96EB6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496EB6"/>
    <w:pPr>
      <w:autoSpaceDE w:val="0"/>
      <w:autoSpaceDN w:val="0"/>
      <w:adjustRightInd w:val="0"/>
      <w:spacing w:before="100" w:after="10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5172</Characters>
  <Application>Microsoft Office Word</Application>
  <DocSecurity>0</DocSecurity>
  <Lines>43</Lines>
  <Paragraphs>12</Paragraphs>
  <ScaleCrop>false</ScaleCrop>
  <Company/>
  <LinksUpToDate>false</LinksUpToDate>
  <CharactersWithSpaces>6022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3</cp:revision>
  <dcterms:created xsi:type="dcterms:W3CDTF">2017-01-03T10:36:00Z</dcterms:created>
  <dcterms:modified xsi:type="dcterms:W3CDTF">2017-01-03T10:37:00Z</dcterms:modified>
</cp:coreProperties>
</file>