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5F6A" w:rsidRPr="00505F6A" w:rsidRDefault="00505F6A" w:rsidP="00505F6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8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05F6A">
        <w:rPr>
          <w:rFonts w:ascii="Times New Roman" w:hAnsi="Times New Roman" w:cs="Times New Roman"/>
          <w:b/>
          <w:bCs/>
          <w:sz w:val="24"/>
          <w:szCs w:val="24"/>
        </w:rPr>
        <w:t>Uchwała Nr XXVIII/177/2017</w:t>
      </w:r>
    </w:p>
    <w:p w:rsidR="00505F6A" w:rsidRPr="00505F6A" w:rsidRDefault="00505F6A" w:rsidP="00505F6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5F6A">
        <w:rPr>
          <w:rFonts w:ascii="Times New Roman" w:hAnsi="Times New Roman" w:cs="Times New Roman"/>
          <w:b/>
          <w:bCs/>
          <w:sz w:val="24"/>
          <w:szCs w:val="24"/>
        </w:rPr>
        <w:t>Rady Gminy w Krzynowłodze Małej</w:t>
      </w:r>
    </w:p>
    <w:p w:rsidR="00505F6A" w:rsidRPr="00505F6A" w:rsidRDefault="00505F6A" w:rsidP="00505F6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5F6A">
        <w:rPr>
          <w:rFonts w:ascii="Times New Roman" w:hAnsi="Times New Roman" w:cs="Times New Roman"/>
          <w:b/>
          <w:bCs/>
          <w:sz w:val="24"/>
          <w:szCs w:val="24"/>
        </w:rPr>
        <w:t>z dnia 27 marca 2017 r.</w:t>
      </w:r>
    </w:p>
    <w:p w:rsidR="00505F6A" w:rsidRPr="00505F6A" w:rsidRDefault="00505F6A" w:rsidP="00505F6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05F6A" w:rsidRPr="00505F6A" w:rsidRDefault="00505F6A" w:rsidP="00505F6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5F6A">
        <w:rPr>
          <w:rFonts w:ascii="Times New Roman" w:hAnsi="Times New Roman" w:cs="Times New Roman"/>
          <w:b/>
          <w:bCs/>
          <w:sz w:val="24"/>
          <w:szCs w:val="24"/>
        </w:rPr>
        <w:t>w sprawie zmiany uchwały budżetowej Gminy Krzynowłoga Mała na rok 2017</w:t>
      </w:r>
    </w:p>
    <w:p w:rsidR="00505F6A" w:rsidRPr="00505F6A" w:rsidRDefault="00505F6A" w:rsidP="00505F6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05F6A">
        <w:rPr>
          <w:rFonts w:ascii="Times New Roman" w:hAnsi="Times New Roman" w:cs="Times New Roman"/>
          <w:i/>
          <w:iCs/>
          <w:sz w:val="24"/>
          <w:szCs w:val="24"/>
        </w:rPr>
        <w:t>Na podstawie art. 18 ust. 2 pkt 4 ustawy z dnia 8 marca 1990 r. o samorządzie gminnym (</w:t>
      </w:r>
      <w:proofErr w:type="spellStart"/>
      <w:r w:rsidRPr="00505F6A">
        <w:rPr>
          <w:rFonts w:ascii="Times New Roman" w:hAnsi="Times New Roman" w:cs="Times New Roman"/>
          <w:i/>
          <w:iCs/>
          <w:sz w:val="24"/>
          <w:szCs w:val="24"/>
        </w:rPr>
        <w:t>t.j</w:t>
      </w:r>
      <w:proofErr w:type="spellEnd"/>
      <w:r w:rsidRPr="00505F6A">
        <w:rPr>
          <w:rFonts w:ascii="Times New Roman" w:hAnsi="Times New Roman" w:cs="Times New Roman"/>
          <w:i/>
          <w:iCs/>
          <w:sz w:val="24"/>
          <w:szCs w:val="24"/>
        </w:rPr>
        <w:t>. Dz.U. z 2016 r. poz. 446 ze zm.) oraz art. 211 i art. 212 ustawy z dnia 27 sierpnia 2009 r.  o finansach publicznych (</w:t>
      </w:r>
      <w:proofErr w:type="spellStart"/>
      <w:r w:rsidRPr="00505F6A">
        <w:rPr>
          <w:rFonts w:ascii="Times New Roman" w:hAnsi="Times New Roman" w:cs="Times New Roman"/>
          <w:i/>
          <w:iCs/>
          <w:sz w:val="24"/>
          <w:szCs w:val="24"/>
        </w:rPr>
        <w:t>t.j</w:t>
      </w:r>
      <w:proofErr w:type="spellEnd"/>
      <w:r w:rsidRPr="00505F6A">
        <w:rPr>
          <w:rFonts w:ascii="Times New Roman" w:hAnsi="Times New Roman" w:cs="Times New Roman"/>
          <w:i/>
          <w:iCs/>
          <w:sz w:val="24"/>
          <w:szCs w:val="24"/>
        </w:rPr>
        <w:t xml:space="preserve">. Dz.U. z 2016 r. poz.1870 ze zm.) </w:t>
      </w:r>
    </w:p>
    <w:p w:rsidR="00505F6A" w:rsidRPr="00505F6A" w:rsidRDefault="00505F6A" w:rsidP="00505F6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505F6A" w:rsidRPr="00505F6A" w:rsidRDefault="00505F6A" w:rsidP="00505F6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5F6A">
        <w:rPr>
          <w:rFonts w:ascii="Times New Roman" w:hAnsi="Times New Roman" w:cs="Times New Roman"/>
          <w:b/>
          <w:bCs/>
          <w:i/>
          <w:iCs/>
          <w:sz w:val="24"/>
          <w:szCs w:val="24"/>
        </w:rPr>
        <w:t>Rada Gminy w Krzynowłodze Małej uchwala, co następuje:</w:t>
      </w:r>
    </w:p>
    <w:p w:rsidR="00505F6A" w:rsidRPr="00505F6A" w:rsidRDefault="00505F6A" w:rsidP="00505F6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05F6A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:rsidR="00505F6A" w:rsidRPr="00505F6A" w:rsidRDefault="00505F6A" w:rsidP="00505F6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5F6A">
        <w:rPr>
          <w:rFonts w:ascii="Times New Roman" w:hAnsi="Times New Roman" w:cs="Times New Roman"/>
          <w:sz w:val="24"/>
          <w:szCs w:val="24"/>
        </w:rPr>
        <w:t xml:space="preserve">W budżecie gminy na 2017 r., zatwierdzonym Uchwałą Nr XXV/169/2016 Rady Gminy w Krzynowłodze Małej z dnia 30 grudnia 2016 r. w sprawie uchwalenia uchwały budżetowej Gminy Krzynowłoga Mała na rok 2017, wprowadza się zmiany zgodnie z załącznikami </w:t>
      </w:r>
      <w:r w:rsidRPr="00505F6A">
        <w:rPr>
          <w:rFonts w:ascii="Times New Roman" w:hAnsi="Times New Roman" w:cs="Times New Roman"/>
          <w:b/>
          <w:bCs/>
          <w:sz w:val="24"/>
          <w:szCs w:val="24"/>
        </w:rPr>
        <w:t>Nr 1-4.</w:t>
      </w:r>
    </w:p>
    <w:p w:rsidR="00505F6A" w:rsidRPr="00505F6A" w:rsidRDefault="00505F6A" w:rsidP="00505F6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5F6A" w:rsidRPr="00505F6A" w:rsidRDefault="00505F6A" w:rsidP="00505F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05F6A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:rsidR="00505F6A" w:rsidRPr="00505F6A" w:rsidRDefault="00505F6A" w:rsidP="00505F6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5F6A">
        <w:rPr>
          <w:rFonts w:ascii="Times New Roman" w:hAnsi="Times New Roman" w:cs="Times New Roman"/>
          <w:sz w:val="24"/>
          <w:szCs w:val="24"/>
        </w:rPr>
        <w:t>Budżet gminy po zmianach po stronie dochodów i wydatków budżetowych będzie kształtował się w następujących kwotach:</w:t>
      </w:r>
    </w:p>
    <w:p w:rsidR="00505F6A" w:rsidRPr="00505F6A" w:rsidRDefault="00505F6A" w:rsidP="00505F6A">
      <w:pPr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5F6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Dochody </w:t>
      </w:r>
      <w:r w:rsidRPr="00505F6A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505F6A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 xml:space="preserve"> -  17.613.149,92zł</w:t>
      </w:r>
      <w:r w:rsidRPr="00505F6A">
        <w:rPr>
          <w:rFonts w:ascii="Times New Roman" w:hAnsi="Times New Roman" w:cs="Times New Roman"/>
          <w:color w:val="000000"/>
          <w:sz w:val="24"/>
          <w:szCs w:val="24"/>
        </w:rPr>
        <w:t>, w tym:</w:t>
      </w:r>
    </w:p>
    <w:p w:rsidR="00505F6A" w:rsidRPr="00505F6A" w:rsidRDefault="00505F6A" w:rsidP="00505F6A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720" w:hanging="85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505F6A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dochody bieżące </w:t>
      </w:r>
      <w:r w:rsidRPr="00505F6A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 -15.432.343,98 zł</w:t>
      </w:r>
      <w:r w:rsidRPr="00505F6A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</w:t>
      </w:r>
      <w:r w:rsidRPr="00505F6A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</w:p>
    <w:p w:rsidR="00505F6A" w:rsidRPr="00505F6A" w:rsidRDefault="00505F6A" w:rsidP="00505F6A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720" w:hanging="85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05F6A">
        <w:rPr>
          <w:rFonts w:ascii="Times New Roman" w:hAnsi="Times New Roman" w:cs="Times New Roman"/>
          <w:i/>
          <w:iCs/>
          <w:sz w:val="24"/>
          <w:szCs w:val="24"/>
        </w:rPr>
        <w:t>- dochody majątkowe</w:t>
      </w:r>
      <w:r w:rsidRPr="00505F6A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- 2.180.805,94 zł</w:t>
      </w:r>
    </w:p>
    <w:p w:rsidR="00505F6A" w:rsidRPr="00505F6A" w:rsidRDefault="00505F6A" w:rsidP="00505F6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05F6A">
        <w:rPr>
          <w:rFonts w:ascii="Times New Roman" w:hAnsi="Times New Roman" w:cs="Times New Roman"/>
          <w:sz w:val="24"/>
          <w:szCs w:val="24"/>
        </w:rPr>
        <w:t xml:space="preserve">zgodnie z załącznikiem </w:t>
      </w:r>
      <w:r w:rsidRPr="00505F6A">
        <w:rPr>
          <w:rFonts w:ascii="Times New Roman" w:hAnsi="Times New Roman" w:cs="Times New Roman"/>
          <w:b/>
          <w:bCs/>
          <w:sz w:val="24"/>
          <w:szCs w:val="24"/>
        </w:rPr>
        <w:t>Nr  1,</w:t>
      </w:r>
    </w:p>
    <w:p w:rsidR="00505F6A" w:rsidRPr="00505F6A" w:rsidRDefault="00505F6A" w:rsidP="00505F6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05F6A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Pr="00505F6A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05F6A">
        <w:rPr>
          <w:rFonts w:ascii="Times New Roman" w:hAnsi="Times New Roman" w:cs="Times New Roman"/>
          <w:sz w:val="24"/>
          <w:szCs w:val="24"/>
        </w:rPr>
        <w:t xml:space="preserve"> </w:t>
      </w:r>
      <w:r w:rsidRPr="00505F6A">
        <w:rPr>
          <w:rFonts w:ascii="Times New Roman" w:hAnsi="Times New Roman" w:cs="Times New Roman"/>
          <w:b/>
          <w:bCs/>
          <w:sz w:val="24"/>
          <w:szCs w:val="24"/>
        </w:rPr>
        <w:t xml:space="preserve">Wydatki </w:t>
      </w:r>
      <w:r w:rsidRPr="00505F6A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05F6A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</w:t>
      </w:r>
      <w:r w:rsidRPr="00505F6A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– 17.814.147,91 zł</w:t>
      </w:r>
      <w:r w:rsidRPr="00505F6A">
        <w:rPr>
          <w:rFonts w:ascii="Times New Roman" w:hAnsi="Times New Roman" w:cs="Times New Roman"/>
          <w:color w:val="000000"/>
          <w:sz w:val="24"/>
          <w:szCs w:val="24"/>
        </w:rPr>
        <w:t>, w tym:</w:t>
      </w:r>
    </w:p>
    <w:p w:rsidR="00505F6A" w:rsidRPr="00505F6A" w:rsidRDefault="00505F6A" w:rsidP="00505F6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505F6A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wydatki bieżące </w:t>
      </w:r>
      <w:r w:rsidRPr="00505F6A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–14.927.713,91 zł</w:t>
      </w:r>
    </w:p>
    <w:p w:rsidR="00505F6A" w:rsidRPr="00505F6A" w:rsidRDefault="00505F6A" w:rsidP="00505F6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05F6A">
        <w:rPr>
          <w:rFonts w:ascii="Times New Roman" w:hAnsi="Times New Roman" w:cs="Times New Roman"/>
          <w:i/>
          <w:iCs/>
          <w:sz w:val="24"/>
          <w:szCs w:val="24"/>
        </w:rPr>
        <w:t xml:space="preserve">- wydatki majątkowe </w:t>
      </w:r>
      <w:r w:rsidRPr="00505F6A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– 2.886.434,00 zł.</w:t>
      </w:r>
    </w:p>
    <w:p w:rsidR="00505F6A" w:rsidRPr="00505F6A" w:rsidRDefault="00505F6A" w:rsidP="00505F6A">
      <w:pPr>
        <w:tabs>
          <w:tab w:val="left" w:pos="5025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05F6A">
        <w:rPr>
          <w:rFonts w:ascii="Times New Roman" w:hAnsi="Times New Roman" w:cs="Times New Roman"/>
          <w:sz w:val="24"/>
          <w:szCs w:val="24"/>
        </w:rPr>
        <w:t xml:space="preserve">zgodnie z załącznikami </w:t>
      </w:r>
      <w:r w:rsidRPr="00505F6A">
        <w:rPr>
          <w:rFonts w:ascii="Times New Roman" w:hAnsi="Times New Roman" w:cs="Times New Roman"/>
          <w:b/>
          <w:bCs/>
          <w:sz w:val="24"/>
          <w:szCs w:val="24"/>
        </w:rPr>
        <w:t>Nr  2 i 2a.</w:t>
      </w:r>
    </w:p>
    <w:p w:rsidR="00505F6A" w:rsidRPr="00505F6A" w:rsidRDefault="00505F6A" w:rsidP="00505F6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FF6600"/>
          <w:sz w:val="24"/>
          <w:szCs w:val="24"/>
        </w:rPr>
      </w:pPr>
    </w:p>
    <w:p w:rsidR="00505F6A" w:rsidRPr="00505F6A" w:rsidRDefault="00505F6A" w:rsidP="00505F6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5F6A">
        <w:rPr>
          <w:rFonts w:ascii="Times New Roman" w:hAnsi="Times New Roman" w:cs="Times New Roman"/>
          <w:b/>
          <w:bCs/>
          <w:sz w:val="24"/>
          <w:szCs w:val="24"/>
        </w:rPr>
        <w:t>§ 3.</w:t>
      </w:r>
    </w:p>
    <w:p w:rsidR="00505F6A" w:rsidRPr="00505F6A" w:rsidRDefault="00505F6A" w:rsidP="00505F6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5F6A">
        <w:rPr>
          <w:rFonts w:ascii="Times New Roman" w:hAnsi="Times New Roman" w:cs="Times New Roman"/>
          <w:sz w:val="24"/>
          <w:szCs w:val="24"/>
        </w:rPr>
        <w:t xml:space="preserve">1. Ustala się deficyt budżetu gminy w kwocie </w:t>
      </w:r>
      <w:r w:rsidRPr="00505F6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05F6A">
        <w:rPr>
          <w:rFonts w:ascii="Times New Roman" w:hAnsi="Times New Roman" w:cs="Times New Roman"/>
          <w:b/>
          <w:bCs/>
          <w:sz w:val="24"/>
          <w:szCs w:val="24"/>
          <w:u w:val="single"/>
        </w:rPr>
        <w:t>200.997,99 zł.</w:t>
      </w:r>
      <w:r w:rsidRPr="00505F6A">
        <w:rPr>
          <w:rFonts w:ascii="Times New Roman" w:hAnsi="Times New Roman" w:cs="Times New Roman"/>
          <w:sz w:val="24"/>
          <w:szCs w:val="24"/>
        </w:rPr>
        <w:t xml:space="preserve"> sfinansowany przychodami pochodzącymi z:</w:t>
      </w:r>
    </w:p>
    <w:p w:rsidR="00505F6A" w:rsidRPr="00505F6A" w:rsidRDefault="00505F6A" w:rsidP="00505F6A">
      <w:pPr>
        <w:widowControl w:val="0"/>
        <w:numPr>
          <w:ilvl w:val="0"/>
          <w:numId w:val="2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5F6A">
        <w:rPr>
          <w:rFonts w:ascii="Times New Roman" w:hAnsi="Times New Roman" w:cs="Times New Roman"/>
          <w:color w:val="000000"/>
          <w:sz w:val="24"/>
          <w:szCs w:val="24"/>
        </w:rPr>
        <w:t>pożyczki zaciągniętej z Wojewódzkiego Funduszu Ochrony Środowiska i Gospodarki Wodnej w Warszawie - 200.000,00zł.</w:t>
      </w:r>
    </w:p>
    <w:p w:rsidR="00505F6A" w:rsidRPr="00505F6A" w:rsidRDefault="00505F6A" w:rsidP="00505F6A">
      <w:pPr>
        <w:numPr>
          <w:ilvl w:val="0"/>
          <w:numId w:val="3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5F6A">
        <w:rPr>
          <w:rFonts w:ascii="Times New Roman" w:hAnsi="Times New Roman" w:cs="Times New Roman"/>
          <w:sz w:val="24"/>
          <w:szCs w:val="24"/>
        </w:rPr>
        <w:t xml:space="preserve">wolnych środków -  997,99 zł, </w:t>
      </w:r>
    </w:p>
    <w:p w:rsidR="00505F6A" w:rsidRPr="00505F6A" w:rsidRDefault="00505F6A" w:rsidP="00505F6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5F6A">
        <w:rPr>
          <w:rFonts w:ascii="Times New Roman" w:hAnsi="Times New Roman" w:cs="Times New Roman"/>
          <w:color w:val="000000"/>
          <w:sz w:val="24"/>
          <w:szCs w:val="24"/>
        </w:rPr>
        <w:t xml:space="preserve">2. Wprowadza się zmiany w planie przychodów budżetu </w:t>
      </w:r>
      <w:r w:rsidRPr="00505F6A">
        <w:rPr>
          <w:rFonts w:ascii="Times New Roman" w:hAnsi="Times New Roman" w:cs="Times New Roman"/>
          <w:sz w:val="24"/>
          <w:szCs w:val="24"/>
        </w:rPr>
        <w:t xml:space="preserve">zgodnie z </w:t>
      </w:r>
      <w:r w:rsidRPr="00505F6A">
        <w:rPr>
          <w:rFonts w:ascii="Times New Roman" w:hAnsi="Times New Roman" w:cs="Times New Roman"/>
          <w:b/>
          <w:bCs/>
          <w:sz w:val="24"/>
          <w:szCs w:val="24"/>
        </w:rPr>
        <w:t>załącznikiem nr 3</w:t>
      </w:r>
      <w:r w:rsidRPr="00505F6A">
        <w:rPr>
          <w:rFonts w:ascii="Times New Roman" w:hAnsi="Times New Roman" w:cs="Times New Roman"/>
          <w:sz w:val="24"/>
          <w:szCs w:val="24"/>
        </w:rPr>
        <w:t xml:space="preserve"> do niniejszej uchwały.</w:t>
      </w:r>
    </w:p>
    <w:p w:rsidR="00505F6A" w:rsidRPr="00505F6A" w:rsidRDefault="00505F6A" w:rsidP="00505F6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5F6A">
        <w:rPr>
          <w:rFonts w:ascii="Times New Roman" w:hAnsi="Times New Roman" w:cs="Times New Roman"/>
          <w:sz w:val="24"/>
          <w:szCs w:val="24"/>
        </w:rPr>
        <w:t xml:space="preserve">3. Plan rozchodów budżetu wynosi </w:t>
      </w:r>
      <w:r w:rsidRPr="00505F6A">
        <w:rPr>
          <w:rFonts w:ascii="Times New Roman" w:hAnsi="Times New Roman" w:cs="Times New Roman"/>
          <w:b/>
          <w:bCs/>
          <w:sz w:val="24"/>
          <w:szCs w:val="24"/>
        </w:rPr>
        <w:t>216.975,23</w:t>
      </w:r>
      <w:r w:rsidRPr="00505F6A">
        <w:rPr>
          <w:rFonts w:ascii="Times New Roman" w:hAnsi="Times New Roman" w:cs="Times New Roman"/>
          <w:sz w:val="24"/>
          <w:szCs w:val="24"/>
        </w:rPr>
        <w:t xml:space="preserve"> </w:t>
      </w:r>
      <w:r w:rsidRPr="00505F6A">
        <w:rPr>
          <w:rFonts w:ascii="Times New Roman" w:hAnsi="Times New Roman" w:cs="Times New Roman"/>
          <w:b/>
          <w:bCs/>
          <w:sz w:val="24"/>
          <w:szCs w:val="24"/>
        </w:rPr>
        <w:t>zł</w:t>
      </w:r>
      <w:r w:rsidRPr="00505F6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5F6A" w:rsidRPr="00505F6A" w:rsidRDefault="00505F6A" w:rsidP="00505F6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5F6A" w:rsidRPr="00505F6A" w:rsidRDefault="00505F6A" w:rsidP="00505F6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5F6A">
        <w:rPr>
          <w:rFonts w:ascii="Times New Roman" w:hAnsi="Times New Roman" w:cs="Times New Roman"/>
          <w:b/>
          <w:bCs/>
          <w:sz w:val="24"/>
          <w:szCs w:val="24"/>
        </w:rPr>
        <w:t>§ 4.</w:t>
      </w:r>
    </w:p>
    <w:p w:rsidR="00505F6A" w:rsidRPr="00505F6A" w:rsidRDefault="00505F6A" w:rsidP="00505F6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before="10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5F6A">
        <w:rPr>
          <w:rFonts w:ascii="Times New Roman" w:hAnsi="Times New Roman" w:cs="Times New Roman"/>
          <w:sz w:val="24"/>
          <w:szCs w:val="24"/>
        </w:rPr>
        <w:t xml:space="preserve">Zmienia się plan dotacji udzielanych z budżetu gminy podmiotom należącym i nie należącym do sektora finansów publicznych, zgodnie </w:t>
      </w:r>
      <w:r w:rsidRPr="00505F6A">
        <w:rPr>
          <w:rFonts w:ascii="Times New Roman" w:hAnsi="Times New Roman" w:cs="Times New Roman"/>
          <w:b/>
          <w:bCs/>
          <w:sz w:val="24"/>
          <w:szCs w:val="24"/>
        </w:rPr>
        <w:t>z załącznikiem nr 4</w:t>
      </w:r>
      <w:r w:rsidRPr="00505F6A">
        <w:rPr>
          <w:rFonts w:ascii="Times New Roman" w:hAnsi="Times New Roman" w:cs="Times New Roman"/>
          <w:sz w:val="24"/>
          <w:szCs w:val="24"/>
        </w:rPr>
        <w:t xml:space="preserve"> do niniejszej uchwały</w:t>
      </w:r>
      <w:r w:rsidRPr="00505F6A">
        <w:rPr>
          <w:rFonts w:ascii="Times New Roman" w:hAnsi="Times New Roman" w:cs="Times New Roman"/>
          <w:color w:val="FF6600"/>
          <w:sz w:val="24"/>
          <w:szCs w:val="24"/>
        </w:rPr>
        <w:t>.</w:t>
      </w:r>
    </w:p>
    <w:p w:rsidR="00505F6A" w:rsidRPr="00505F6A" w:rsidRDefault="00505F6A" w:rsidP="00505F6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05F6A" w:rsidRPr="00505F6A" w:rsidRDefault="00505F6A" w:rsidP="00505F6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05F6A" w:rsidRPr="00505F6A" w:rsidRDefault="00505F6A" w:rsidP="00505F6A">
      <w:p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uto"/>
        <w:ind w:left="567" w:hanging="567"/>
        <w:jc w:val="center"/>
        <w:rPr>
          <w:rFonts w:ascii="Times New Roman" w:hAnsi="Times New Roman" w:cs="Times New Roman"/>
          <w:color w:val="FF6600"/>
          <w:sz w:val="24"/>
          <w:szCs w:val="24"/>
        </w:rPr>
      </w:pPr>
      <w:r w:rsidRPr="00505F6A">
        <w:rPr>
          <w:rFonts w:ascii="Times New Roman" w:hAnsi="Times New Roman" w:cs="Times New Roman"/>
          <w:b/>
          <w:bCs/>
          <w:sz w:val="24"/>
          <w:szCs w:val="24"/>
        </w:rPr>
        <w:lastRenderedPageBreak/>
        <w:t>§  5.</w:t>
      </w:r>
    </w:p>
    <w:p w:rsidR="00505F6A" w:rsidRPr="00505F6A" w:rsidRDefault="00505F6A" w:rsidP="00505F6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5F6A">
        <w:rPr>
          <w:rFonts w:ascii="Times New Roman" w:hAnsi="Times New Roman" w:cs="Times New Roman"/>
          <w:sz w:val="24"/>
          <w:szCs w:val="24"/>
        </w:rPr>
        <w:t>Ustala się limity zobowiązań z tytułu emisji papierów wartościowych oraz kredytów i pożyczek z przeznaczeniem na:</w:t>
      </w:r>
    </w:p>
    <w:p w:rsidR="00505F6A" w:rsidRPr="00505F6A" w:rsidRDefault="00505F6A" w:rsidP="00505F6A">
      <w:pPr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uto"/>
        <w:ind w:left="374" w:firstLine="334"/>
        <w:jc w:val="both"/>
        <w:rPr>
          <w:rFonts w:ascii="Times New Roman" w:hAnsi="Times New Roman" w:cs="Times New Roman"/>
          <w:sz w:val="24"/>
          <w:szCs w:val="24"/>
        </w:rPr>
      </w:pPr>
      <w:r w:rsidRPr="00505F6A">
        <w:rPr>
          <w:rFonts w:ascii="Times New Roman" w:hAnsi="Times New Roman" w:cs="Times New Roman"/>
          <w:sz w:val="24"/>
          <w:szCs w:val="24"/>
        </w:rPr>
        <w:t xml:space="preserve">a) pokrycie występującego w ciągu roku przejściowego deficytu budżetu gminy do wysokości 700.000,00 zł, </w:t>
      </w:r>
    </w:p>
    <w:p w:rsidR="00505F6A" w:rsidRPr="00505F6A" w:rsidRDefault="00505F6A" w:rsidP="00505F6A">
      <w:pPr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uto"/>
        <w:ind w:left="374" w:firstLine="334"/>
        <w:jc w:val="both"/>
        <w:rPr>
          <w:rFonts w:ascii="Times New Roman" w:hAnsi="Times New Roman" w:cs="Times New Roman"/>
          <w:sz w:val="24"/>
          <w:szCs w:val="24"/>
        </w:rPr>
      </w:pPr>
      <w:r w:rsidRPr="00505F6A">
        <w:rPr>
          <w:rFonts w:ascii="Times New Roman" w:hAnsi="Times New Roman" w:cs="Times New Roman"/>
          <w:sz w:val="24"/>
          <w:szCs w:val="24"/>
        </w:rPr>
        <w:t>b) spłatę wcześniej zaciągniętych zobowiązań z tytułu zaciągniętych kredytów i pożyczek do wysokości  150.000,00 zł.</w:t>
      </w:r>
    </w:p>
    <w:p w:rsidR="00505F6A" w:rsidRPr="00505F6A" w:rsidRDefault="00505F6A" w:rsidP="00505F6A">
      <w:pPr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uto"/>
        <w:ind w:left="374" w:firstLine="334"/>
        <w:jc w:val="both"/>
        <w:rPr>
          <w:rFonts w:ascii="Times New Roman" w:hAnsi="Times New Roman" w:cs="Times New Roman"/>
          <w:sz w:val="24"/>
          <w:szCs w:val="24"/>
        </w:rPr>
      </w:pPr>
      <w:r w:rsidRPr="00505F6A">
        <w:rPr>
          <w:rFonts w:ascii="Times New Roman" w:hAnsi="Times New Roman" w:cs="Times New Roman"/>
          <w:color w:val="000000"/>
          <w:sz w:val="24"/>
          <w:szCs w:val="24"/>
        </w:rPr>
        <w:t>c) zaciągnięcie kredytów, pożyczek i emitowanych papierów wartościowych na sfinansowanie planowanego deficytu budżetu w kwocie 200.000,00 zł.</w:t>
      </w:r>
    </w:p>
    <w:p w:rsidR="00505F6A" w:rsidRPr="00505F6A" w:rsidRDefault="00505F6A" w:rsidP="00505F6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FF6600"/>
          <w:sz w:val="24"/>
          <w:szCs w:val="24"/>
        </w:rPr>
      </w:pPr>
      <w:r w:rsidRPr="00505F6A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505F6A" w:rsidRPr="00505F6A" w:rsidRDefault="00505F6A" w:rsidP="00505F6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5F6A">
        <w:rPr>
          <w:rFonts w:ascii="Times New Roman" w:hAnsi="Times New Roman" w:cs="Times New Roman"/>
          <w:b/>
          <w:bCs/>
          <w:sz w:val="24"/>
          <w:szCs w:val="24"/>
        </w:rPr>
        <w:t>§ 6.</w:t>
      </w:r>
    </w:p>
    <w:p w:rsidR="00505F6A" w:rsidRPr="00505F6A" w:rsidRDefault="00505F6A" w:rsidP="00505F6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5F6A">
        <w:rPr>
          <w:rFonts w:ascii="Times New Roman" w:hAnsi="Times New Roman" w:cs="Times New Roman"/>
          <w:sz w:val="24"/>
          <w:szCs w:val="24"/>
        </w:rPr>
        <w:t>Wykonanie Uchwały powierza się Wójtowi Gminy.</w:t>
      </w:r>
    </w:p>
    <w:p w:rsidR="00505F6A" w:rsidRPr="00505F6A" w:rsidRDefault="00505F6A" w:rsidP="00505F6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5F6A" w:rsidRPr="00505F6A" w:rsidRDefault="00505F6A" w:rsidP="00505F6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5F6A">
        <w:rPr>
          <w:rFonts w:ascii="Times New Roman" w:hAnsi="Times New Roman" w:cs="Times New Roman"/>
          <w:b/>
          <w:bCs/>
          <w:sz w:val="24"/>
          <w:szCs w:val="24"/>
        </w:rPr>
        <w:t>§ 7.</w:t>
      </w:r>
    </w:p>
    <w:p w:rsidR="00505F6A" w:rsidRPr="00505F6A" w:rsidRDefault="00505F6A" w:rsidP="00505F6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5F6A">
        <w:rPr>
          <w:rFonts w:ascii="Times New Roman" w:hAnsi="Times New Roman" w:cs="Times New Roman"/>
          <w:sz w:val="24"/>
          <w:szCs w:val="24"/>
        </w:rPr>
        <w:t>1. Uchwała wchodzi w życie z dniem podjęcia i obowiązuje w roku budżetowym 2017.</w:t>
      </w:r>
    </w:p>
    <w:p w:rsidR="00505F6A" w:rsidRPr="00505F6A" w:rsidRDefault="00505F6A" w:rsidP="00505F6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5F6A">
        <w:rPr>
          <w:rFonts w:ascii="Times New Roman" w:hAnsi="Times New Roman" w:cs="Times New Roman"/>
          <w:sz w:val="24"/>
          <w:szCs w:val="24"/>
        </w:rPr>
        <w:t>2. Uchwała podlega publikacji w Dzienniku Urzędowym Województwa Mazowieckiego oraz na tablicy ogłoszeń Urzędu Gminy.</w:t>
      </w:r>
    </w:p>
    <w:p w:rsidR="00505F6A" w:rsidRPr="00505F6A" w:rsidRDefault="00505F6A" w:rsidP="00505F6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D5FE6" w:rsidRDefault="006D5FE6"/>
    <w:p w:rsidR="00F537A2" w:rsidRDefault="00F537A2" w:rsidP="00F537A2">
      <w:pPr>
        <w:ind w:left="4956" w:firstLine="708"/>
      </w:pPr>
      <w:r>
        <w:t xml:space="preserve">Przewodniczący Rady Gminy </w:t>
      </w:r>
    </w:p>
    <w:p w:rsidR="00F537A2" w:rsidRDefault="00F537A2" w:rsidP="00F537A2">
      <w:pPr>
        <w:ind w:left="4956" w:firstLine="708"/>
      </w:pPr>
      <w:r>
        <w:t xml:space="preserve">      </w:t>
      </w:r>
      <w:bookmarkStart w:id="0" w:name="_GoBack"/>
      <w:bookmarkEnd w:id="0"/>
      <w:r>
        <w:t xml:space="preserve">/-/ Bogdan Stryjewski </w:t>
      </w:r>
    </w:p>
    <w:sectPr w:rsidR="00F537A2" w:rsidSect="00517259">
      <w:headerReference w:type="default" r:id="rId7"/>
      <w:pgSz w:w="12240" w:h="15840"/>
      <w:pgMar w:top="1417" w:right="1417" w:bottom="1417" w:left="1417" w:header="720" w:footer="72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F537A2">
      <w:pPr>
        <w:spacing w:after="0" w:line="240" w:lineRule="auto"/>
      </w:pPr>
      <w:r>
        <w:separator/>
      </w:r>
    </w:p>
  </w:endnote>
  <w:endnote w:type="continuationSeparator" w:id="0">
    <w:p w:rsidR="00000000" w:rsidRDefault="00F537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F537A2">
      <w:pPr>
        <w:spacing w:after="0" w:line="240" w:lineRule="auto"/>
      </w:pPr>
      <w:r>
        <w:separator/>
      </w:r>
    </w:p>
  </w:footnote>
  <w:footnote w:type="continuationSeparator" w:id="0">
    <w:p w:rsidR="00000000" w:rsidRDefault="00F537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7259" w:rsidRDefault="00505F6A">
    <w:pPr>
      <w:pStyle w:val="Normal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5">
      <w:start w:val="1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6">
      <w:start w:val="1"/>
      <w:numFmt w:val="decimal"/>
      <w:lvlText w:val="%7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7">
      <w:start w:val="1"/>
      <w:numFmt w:val="decimal"/>
      <w:lvlText w:val="%8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8">
      <w:start w:val="1"/>
      <w:numFmt w:val="decimal"/>
      <w:lvlText w:val="%9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bullet"/>
      <w:lvlText w:val=""/>
      <w:lvlJc w:val="left"/>
      <w:pPr>
        <w:ind w:left="108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2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3">
      <w:start w:val="1"/>
      <w:numFmt w:val="bullet"/>
      <w:lvlText w:val=""/>
      <w:lvlJc w:val="left"/>
      <w:pPr>
        <w:ind w:left="180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4">
      <w:start w:val="1"/>
      <w:numFmt w:val="bullet"/>
      <w:lvlText w:val=""/>
      <w:lvlJc w:val="left"/>
      <w:pPr>
        <w:ind w:left="216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5">
      <w:start w:val="1"/>
      <w:numFmt w:val="bullet"/>
      <w:lvlText w:val=""/>
      <w:lvlJc w:val="left"/>
      <w:pPr>
        <w:ind w:left="252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6">
      <w:start w:val="1"/>
      <w:numFmt w:val="bullet"/>
      <w:lvlText w:val=""/>
      <w:lvlJc w:val="left"/>
      <w:pPr>
        <w:ind w:left="288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7">
      <w:start w:val="1"/>
      <w:numFmt w:val="bullet"/>
      <w:lvlText w:val=""/>
      <w:lvlJc w:val="left"/>
      <w:pPr>
        <w:ind w:left="324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8">
      <w:start w:val="1"/>
      <w:numFmt w:val="bullet"/>
      <w:lvlText w:val=""/>
      <w:lvlJc w:val="left"/>
      <w:pPr>
        <w:ind w:left="360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</w:abstractNum>
  <w:num w:numId="1">
    <w:abstractNumId w:val="0"/>
  </w:num>
  <w:num w:numId="2">
    <w:abstractNumId w:val="1"/>
  </w:num>
  <w:num w:numId="3">
    <w:abstractNumId w:val="1"/>
    <w:lvlOverride w:ilvl="0">
      <w:lvl w:ilvl="0">
        <w:start w:val="1"/>
        <w:numFmt w:val="bullet"/>
        <w:lvlText w:val=""/>
        <w:lvlJc w:val="left"/>
        <w:pPr>
          <w:ind w:left="720" w:hanging="360"/>
        </w:pPr>
        <w:rPr>
          <w:rFonts w:ascii="Symbol" w:hAnsi="Symbol" w:cs="Symbol" w:hint="default"/>
          <w:b w:val="0"/>
          <w:bCs w:val="0"/>
          <w:i w:val="0"/>
          <w:iCs w:val="0"/>
          <w:strike w:val="0"/>
          <w:color w:val="auto"/>
          <w:sz w:val="24"/>
          <w:szCs w:val="24"/>
          <w:u w:val="none"/>
        </w:rPr>
      </w:lvl>
    </w:lvlOverride>
    <w:lvlOverride w:ilvl="1">
      <w:lvl w:ilvl="1">
        <w:start w:val="1"/>
        <w:numFmt w:val="bullet"/>
        <w:lvlText w:val=""/>
        <w:lvlJc w:val="left"/>
        <w:pPr>
          <w:ind w:left="1080" w:hanging="360"/>
        </w:pPr>
        <w:rPr>
          <w:rFonts w:ascii="Symbol" w:hAnsi="Symbol" w:cs="Symbol" w:hint="default"/>
          <w:b w:val="0"/>
          <w:bCs w:val="0"/>
          <w:i w:val="0"/>
          <w:iCs w:val="0"/>
          <w:strike w:val="0"/>
          <w:color w:val="000000"/>
          <w:sz w:val="24"/>
          <w:szCs w:val="24"/>
          <w:u w:val="none"/>
        </w:rPr>
      </w:lvl>
    </w:lvlOverride>
    <w:lvlOverride w:ilvl="2">
      <w:lvl w:ilvl="2">
        <w:start w:val="1"/>
        <w:numFmt w:val="bullet"/>
        <w:lvlText w:val=""/>
        <w:lvlJc w:val="left"/>
        <w:pPr>
          <w:ind w:left="1440" w:hanging="360"/>
        </w:pPr>
        <w:rPr>
          <w:rFonts w:ascii="Symbol" w:hAnsi="Symbol" w:cs="Symbol" w:hint="default"/>
          <w:b w:val="0"/>
          <w:bCs w:val="0"/>
          <w:i w:val="0"/>
          <w:iCs w:val="0"/>
          <w:strike w:val="0"/>
          <w:color w:val="000000"/>
          <w:sz w:val="24"/>
          <w:szCs w:val="24"/>
          <w:u w:val="none"/>
        </w:rPr>
      </w:lvl>
    </w:lvlOverride>
    <w:lvlOverride w:ilvl="3">
      <w:lvl w:ilvl="3">
        <w:start w:val="1"/>
        <w:numFmt w:val="bullet"/>
        <w:lvlText w:val=""/>
        <w:lvlJc w:val="left"/>
        <w:pPr>
          <w:ind w:left="1800" w:hanging="360"/>
        </w:pPr>
        <w:rPr>
          <w:rFonts w:ascii="Symbol" w:hAnsi="Symbol" w:cs="Symbol" w:hint="default"/>
          <w:b w:val="0"/>
          <w:bCs w:val="0"/>
          <w:i w:val="0"/>
          <w:iCs w:val="0"/>
          <w:strike w:val="0"/>
          <w:color w:val="000000"/>
          <w:sz w:val="24"/>
          <w:szCs w:val="24"/>
          <w:u w:val="none"/>
        </w:rPr>
      </w:lvl>
    </w:lvlOverride>
    <w:lvlOverride w:ilvl="4">
      <w:lvl w:ilvl="4">
        <w:start w:val="1"/>
        <w:numFmt w:val="bullet"/>
        <w:lvlText w:val=""/>
        <w:lvlJc w:val="left"/>
        <w:pPr>
          <w:ind w:left="2160" w:hanging="360"/>
        </w:pPr>
        <w:rPr>
          <w:rFonts w:ascii="Symbol" w:hAnsi="Symbol" w:cs="Symbol" w:hint="default"/>
          <w:b w:val="0"/>
          <w:bCs w:val="0"/>
          <w:i w:val="0"/>
          <w:iCs w:val="0"/>
          <w:strike w:val="0"/>
          <w:color w:val="000000"/>
          <w:sz w:val="24"/>
          <w:szCs w:val="24"/>
          <w:u w:val="none"/>
        </w:rPr>
      </w:lvl>
    </w:lvlOverride>
    <w:lvlOverride w:ilvl="5">
      <w:lvl w:ilvl="5">
        <w:start w:val="1"/>
        <w:numFmt w:val="bullet"/>
        <w:lvlText w:val=""/>
        <w:lvlJc w:val="left"/>
        <w:pPr>
          <w:ind w:left="2520" w:hanging="360"/>
        </w:pPr>
        <w:rPr>
          <w:rFonts w:ascii="Symbol" w:hAnsi="Symbol" w:cs="Symbol" w:hint="default"/>
          <w:b w:val="0"/>
          <w:bCs w:val="0"/>
          <w:i w:val="0"/>
          <w:iCs w:val="0"/>
          <w:strike w:val="0"/>
          <w:color w:val="000000"/>
          <w:sz w:val="24"/>
          <w:szCs w:val="24"/>
          <w:u w:val="none"/>
        </w:rPr>
      </w:lvl>
    </w:lvlOverride>
    <w:lvlOverride w:ilvl="6">
      <w:lvl w:ilvl="6">
        <w:start w:val="1"/>
        <w:numFmt w:val="bullet"/>
        <w:lvlText w:val=""/>
        <w:lvlJc w:val="left"/>
        <w:pPr>
          <w:ind w:left="2880" w:hanging="360"/>
        </w:pPr>
        <w:rPr>
          <w:rFonts w:ascii="Symbol" w:hAnsi="Symbol" w:cs="Symbol" w:hint="default"/>
          <w:b w:val="0"/>
          <w:bCs w:val="0"/>
          <w:i w:val="0"/>
          <w:iCs w:val="0"/>
          <w:strike w:val="0"/>
          <w:color w:val="000000"/>
          <w:sz w:val="24"/>
          <w:szCs w:val="24"/>
          <w:u w:val="none"/>
        </w:rPr>
      </w:lvl>
    </w:lvlOverride>
    <w:lvlOverride w:ilvl="7">
      <w:lvl w:ilvl="7">
        <w:start w:val="1"/>
        <w:numFmt w:val="bullet"/>
        <w:lvlText w:val=""/>
        <w:lvlJc w:val="left"/>
        <w:pPr>
          <w:ind w:left="3240" w:hanging="360"/>
        </w:pPr>
        <w:rPr>
          <w:rFonts w:ascii="Symbol" w:hAnsi="Symbol" w:cs="Symbol" w:hint="default"/>
          <w:b w:val="0"/>
          <w:bCs w:val="0"/>
          <w:i w:val="0"/>
          <w:iCs w:val="0"/>
          <w:strike w:val="0"/>
          <w:color w:val="000000"/>
          <w:sz w:val="24"/>
          <w:szCs w:val="24"/>
          <w:u w:val="none"/>
        </w:rPr>
      </w:lvl>
    </w:lvlOverride>
    <w:lvlOverride w:ilvl="8">
      <w:lvl w:ilvl="8">
        <w:start w:val="1"/>
        <w:numFmt w:val="bullet"/>
        <w:lvlText w:val=""/>
        <w:lvlJc w:val="left"/>
        <w:pPr>
          <w:ind w:left="3600" w:hanging="360"/>
        </w:pPr>
        <w:rPr>
          <w:rFonts w:ascii="Symbol" w:hAnsi="Symbol" w:cs="Symbol" w:hint="default"/>
          <w:b w:val="0"/>
          <w:bCs w:val="0"/>
          <w:i w:val="0"/>
          <w:iCs w:val="0"/>
          <w:strike w:val="0"/>
          <w:color w:val="000000"/>
          <w:sz w:val="24"/>
          <w:szCs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05F6A"/>
    <w:rsid w:val="00505F6A"/>
    <w:rsid w:val="006D5FE6"/>
    <w:rsid w:val="00F53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90EB4D-CE18-4F25-856C-E26A562D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D5F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uiPriority w:val="99"/>
    <w:rsid w:val="00505F6A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505F6A"/>
    <w:pPr>
      <w:autoSpaceDE w:val="0"/>
      <w:autoSpaceDN w:val="0"/>
      <w:adjustRightInd w:val="0"/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05F6A"/>
    <w:rPr>
      <w:rFonts w:ascii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505F6A"/>
    <w:pPr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05F6A"/>
    <w:rPr>
      <w:rFonts w:ascii="Times New Roman" w:hAnsi="Times New Roman" w:cs="Times New Roman"/>
      <w:sz w:val="24"/>
      <w:szCs w:val="24"/>
    </w:rPr>
  </w:style>
  <w:style w:type="paragraph" w:customStyle="1" w:styleId="Tekstpodstawowywcity21">
    <w:name w:val="Tekst podstawowy wcięty 21"/>
    <w:basedOn w:val="Normalny"/>
    <w:uiPriority w:val="99"/>
    <w:rsid w:val="00505F6A"/>
    <w:pPr>
      <w:autoSpaceDE w:val="0"/>
      <w:autoSpaceDN w:val="0"/>
      <w:adjustRightInd w:val="0"/>
      <w:spacing w:after="0" w:line="360" w:lineRule="auto"/>
      <w:ind w:left="284"/>
      <w:jc w:val="both"/>
    </w:pPr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99"/>
    <w:qFormat/>
    <w:rsid w:val="00505F6A"/>
    <w:pPr>
      <w:autoSpaceDE w:val="0"/>
      <w:autoSpaceDN w:val="0"/>
      <w:adjustRightInd w:val="0"/>
      <w:spacing w:after="0" w:line="240" w:lineRule="auto"/>
      <w:ind w:left="720"/>
    </w:pPr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505F6A"/>
    <w:pPr>
      <w:autoSpaceDE w:val="0"/>
      <w:autoSpaceDN w:val="0"/>
      <w:adjustRightInd w:val="0"/>
      <w:spacing w:before="280" w:after="119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362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Winnicka Agnieszka</cp:lastModifiedBy>
  <cp:revision>2</cp:revision>
  <dcterms:created xsi:type="dcterms:W3CDTF">2017-04-04T10:03:00Z</dcterms:created>
  <dcterms:modified xsi:type="dcterms:W3CDTF">2017-04-04T10:15:00Z</dcterms:modified>
</cp:coreProperties>
</file>