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360" w:lineRule="auto"/>
        <w:jc w:val="center"/>
        <w:rPr>
          <w:b/>
          <w:bCs/>
        </w:rPr>
      </w:pPr>
      <w:r>
        <w:rPr>
          <w:b/>
          <w:bCs/>
        </w:rPr>
        <w:t>Uchwała Nr XXXIX/227/2017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360" w:lineRule="auto"/>
        <w:jc w:val="center"/>
        <w:rPr>
          <w:b/>
          <w:bCs/>
        </w:rPr>
      </w:pPr>
      <w:r>
        <w:rPr>
          <w:b/>
          <w:bCs/>
        </w:rPr>
        <w:t>Rady Gminy w Krzynowłodze Małej</w:t>
      </w:r>
      <w:r>
        <w:rPr>
          <w:b/>
          <w:bCs/>
        </w:rPr>
        <w:br/>
        <w:t>z dnia 27 grudnia 2017 r.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360" w:lineRule="auto"/>
        <w:jc w:val="center"/>
        <w:rPr>
          <w:b/>
          <w:bCs/>
        </w:rPr>
      </w:pPr>
      <w:r>
        <w:rPr>
          <w:b/>
          <w:bCs/>
        </w:rPr>
        <w:br/>
        <w:t>w sprawie uchwalenia Wieloletniej Prognozy Finansowej Gminy Krzynowłoga Mała</w:t>
      </w:r>
      <w:r>
        <w:rPr>
          <w:b/>
          <w:bCs/>
        </w:rPr>
        <w:br/>
        <w:t>na lata 2018–2033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360" w:lineRule="auto"/>
        <w:jc w:val="center"/>
        <w:rPr>
          <w:b/>
          <w:bCs/>
        </w:rPr>
      </w:pP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firstLine="708"/>
        <w:jc w:val="both"/>
        <w:rPr>
          <w:i/>
          <w:iCs/>
        </w:rPr>
      </w:pPr>
      <w:r>
        <w:rPr>
          <w:i/>
          <w:iCs/>
        </w:rPr>
        <w:t>Na podstawie art. 226, art. 227, art. 228, art. 230 ust. 6 i art. 243 ustawy z dnia 27 sierpnia 2009 r. o finansach publicznych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Dz.U. z 2017 r. poz. 2077)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firstLine="708"/>
        <w:jc w:val="both"/>
        <w:rPr>
          <w:i/>
          <w:iCs/>
        </w:rPr>
      </w:pP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Rada Gminy w Krzynowłodze Małej uchwala, co następuje: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firstLine="708"/>
        <w:jc w:val="both"/>
        <w:rPr>
          <w:b/>
          <w:bCs/>
        </w:rPr>
      </w:pP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1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Przyjmuje się Wieloletnią Prognozę Finansową Gminy Krzynowłoga Mała na lata 2018–2033, zgodnie z Załącznikiem Nr 1 do niniejszej uchwały.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2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Przyjmuje się wykaz przedsięwzięć kontynuowanych w roku 2018</w:t>
      </w:r>
      <w:r>
        <w:rPr>
          <w:i/>
          <w:iCs/>
        </w:rPr>
        <w:t xml:space="preserve"> </w:t>
      </w:r>
      <w:r>
        <w:t xml:space="preserve">zgodnie z Załącznikiem 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Nr 2 do niniejszej Uchwały.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3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Dołącza się objaśnienie przyjętych wartości w Wieloletniej Prognozie Finansowej na lata 2018-2033.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rPr>
          <w:b/>
          <w:bCs/>
        </w:rPr>
      </w:pP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4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Upoważnia się Wójta Gminy do:</w:t>
      </w:r>
    </w:p>
    <w:p w:rsidR="00AB4848" w:rsidRDefault="00AB4848" w:rsidP="00AB4848">
      <w:pPr>
        <w:pStyle w:val="NormalnyWeb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 xml:space="preserve">Zaciągania zobowiązań związanych z realizacją przedsięwzięć, określonych w </w:t>
      </w:r>
      <w:r>
        <w:tab/>
      </w:r>
      <w:r>
        <w:tab/>
      </w:r>
      <w:r>
        <w:tab/>
        <w:t>Załączniku Nr 2 do niniejszej Uchwały.</w:t>
      </w:r>
    </w:p>
    <w:p w:rsidR="00AB4848" w:rsidRDefault="00AB4848" w:rsidP="00AB4848">
      <w:pPr>
        <w:pStyle w:val="NormalnyWeb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 xml:space="preserve">Zaciągania zobowiązań z tytułu umów, których realizacja w roku budżetowym i w </w:t>
      </w:r>
      <w:r>
        <w:tab/>
      </w:r>
      <w:r>
        <w:tab/>
        <w:t xml:space="preserve">latach następnych jest niezbędna do zapewnienia ciągłości działania jednostki, z </w:t>
      </w:r>
      <w:r>
        <w:tab/>
      </w:r>
      <w:r>
        <w:tab/>
      </w:r>
      <w:r>
        <w:tab/>
        <w:t>których wynikające płatności wykraczają poza rok budżetowy.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5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Uchyla się Uchwałę Nr XXV/168/2016 Rady Gminy w Krzynowłodze Małej z dnia 30 grudnia 2016 r. w sprawie Wieloletniej Prognozy Finansowej Gminy Krzynowłoga Mała na lata 2017-2033.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6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Wykonanie uchwały powierza się Wójtowi Gminy Krzynowłoga Mała.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7</w:t>
      </w:r>
    </w:p>
    <w:p w:rsidR="00AB4848" w:rsidRDefault="00AB4848" w:rsidP="00AB4848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 xml:space="preserve">Uchwała wchodzi w życie z dniem podjęcia z mocą obowiązującą od 1 stycznia 2018 r. </w:t>
      </w:r>
    </w:p>
    <w:p w:rsidR="00AB4848" w:rsidRDefault="00AB4848" w:rsidP="00AB4848">
      <w:pPr>
        <w:pStyle w:val="Normal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:rsidR="00AB4848" w:rsidRDefault="00AB4848" w:rsidP="00AB4848">
      <w:pPr>
        <w:pStyle w:val="Normal"/>
        <w:rPr>
          <w:i/>
          <w:iCs/>
        </w:rPr>
      </w:pPr>
    </w:p>
    <w:p w:rsidR="008A67EF" w:rsidRDefault="008A67EF"/>
    <w:p w:rsidR="00DC5659" w:rsidRDefault="00DC5659"/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jc w:val="center"/>
        <w:rPr>
          <w:rFonts w:ascii="Book Antiqua" w:hAnsi="Book Antiqua" w:cs="Book Antiqua"/>
          <w:b/>
          <w:bCs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sz w:val="24"/>
          <w:szCs w:val="24"/>
        </w:rPr>
        <w:lastRenderedPageBreak/>
        <w:t>Objaśnienie  do Wieloletniej Prognozy Finansowej Gminy Krzynowłoga Mała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jc w:val="center"/>
        <w:rPr>
          <w:rFonts w:ascii="Book Antiqua" w:hAnsi="Book Antiqua" w:cs="Book Antiqua"/>
          <w:b/>
          <w:bCs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sz w:val="24"/>
          <w:szCs w:val="24"/>
        </w:rPr>
        <w:t>na lata 2018-2033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Book Antiqua" w:hAnsi="Book Antiqua" w:cs="Book Antiqua"/>
          <w:sz w:val="24"/>
          <w:szCs w:val="24"/>
        </w:rPr>
      </w:pPr>
      <w:r w:rsidRPr="00DC5659">
        <w:rPr>
          <w:rFonts w:ascii="Times New Roman" w:hAnsi="Times New Roman" w:cs="Times New Roman"/>
          <w:sz w:val="24"/>
          <w:szCs w:val="24"/>
        </w:rPr>
        <w:t>W Wieloletniej Prognozie Finansowej Gminy Krzynowłoga Mała na rok 2018 przyjęto:</w:t>
      </w:r>
    </w:p>
    <w:p w:rsidR="00DC5659" w:rsidRPr="00DC5659" w:rsidRDefault="00DC5659" w:rsidP="00DC5659">
      <w:pPr>
        <w:numPr>
          <w:ilvl w:val="0"/>
          <w:numId w:val="1"/>
        </w:numPr>
        <w:tabs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ind w:left="1068" w:hanging="360"/>
        <w:jc w:val="both"/>
        <w:rPr>
          <w:rFonts w:ascii="Times New Roman" w:hAnsi="Times New Roman" w:cs="Times New Roman"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sz w:val="24"/>
          <w:szCs w:val="24"/>
        </w:rPr>
        <w:t>Dochody ogółem w kwocie 16.137.783,00 zł,</w:t>
      </w:r>
      <w:r w:rsidRPr="00DC5659">
        <w:rPr>
          <w:rFonts w:ascii="Book Antiqua" w:hAnsi="Book Antiqua" w:cs="Book Antiqua"/>
          <w:sz w:val="24"/>
          <w:szCs w:val="24"/>
        </w:rPr>
        <w:t xml:space="preserve"> </w:t>
      </w:r>
      <w:r w:rsidRPr="00DC5659">
        <w:rPr>
          <w:rFonts w:ascii="Times New Roman" w:hAnsi="Times New Roman" w:cs="Times New Roman"/>
          <w:sz w:val="24"/>
          <w:szCs w:val="24"/>
        </w:rPr>
        <w:t>w tym: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659">
        <w:rPr>
          <w:rFonts w:ascii="Times New Roman" w:hAnsi="Times New Roman" w:cs="Times New Roman"/>
          <w:sz w:val="24"/>
          <w:szCs w:val="24"/>
        </w:rPr>
        <w:t>- dochody bieżące w kwocie 15.687.783,00 zł – stanowią 97,2% planu dochodów ogółem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659">
        <w:rPr>
          <w:rFonts w:ascii="Times New Roman" w:hAnsi="Times New Roman" w:cs="Times New Roman"/>
          <w:sz w:val="24"/>
          <w:szCs w:val="24"/>
        </w:rPr>
        <w:t>- dochody majątkowe w kwocie 450.000,00 zł – stanowią 2,7% planu dochodów ogółem.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659">
        <w:rPr>
          <w:rFonts w:ascii="Times New Roman" w:hAnsi="Times New Roman" w:cs="Times New Roman"/>
          <w:sz w:val="24"/>
          <w:szCs w:val="24"/>
        </w:rPr>
        <w:t>W dochodach bieżących największy udział stanowi subwencja otrzymywana z Ministerstwa Finansów. Pozostałą kwotę dochodów bieżących stanowią dotacje i dochody własne, tj. z podatków i opłat lokalnych.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DC5659">
        <w:rPr>
          <w:rFonts w:ascii="Times New Roman" w:hAnsi="Times New Roman" w:cs="Times New Roman"/>
          <w:sz w:val="24"/>
          <w:szCs w:val="24"/>
        </w:rPr>
        <w:t xml:space="preserve">Dochody majątkowe pochodzą z </w:t>
      </w:r>
      <w:proofErr w:type="spellStart"/>
      <w:r w:rsidRPr="00DC5659">
        <w:rPr>
          <w:rFonts w:ascii="Times New Roman" w:hAnsi="Times New Roman" w:cs="Times New Roman"/>
          <w:sz w:val="24"/>
          <w:szCs w:val="24"/>
        </w:rPr>
        <w:t>planownej</w:t>
      </w:r>
      <w:proofErr w:type="spellEnd"/>
      <w:r w:rsidRPr="00DC5659">
        <w:rPr>
          <w:rFonts w:ascii="Times New Roman" w:hAnsi="Times New Roman" w:cs="Times New Roman"/>
          <w:sz w:val="24"/>
          <w:szCs w:val="24"/>
        </w:rPr>
        <w:t xml:space="preserve"> sprzedaży mienia.</w:t>
      </w:r>
    </w:p>
    <w:p w:rsidR="00DC5659" w:rsidRPr="00DC5659" w:rsidRDefault="00DC5659" w:rsidP="00DC5659">
      <w:pPr>
        <w:numPr>
          <w:ilvl w:val="0"/>
          <w:numId w:val="1"/>
        </w:numPr>
        <w:tabs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ind w:left="1068" w:hanging="360"/>
        <w:jc w:val="both"/>
        <w:rPr>
          <w:rFonts w:ascii="Times New Roman" w:hAnsi="Times New Roman" w:cs="Times New Roman"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sz w:val="24"/>
          <w:szCs w:val="24"/>
        </w:rPr>
        <w:t>Wydatki ogółem w kwocie 16.059.318,00 zł,</w:t>
      </w:r>
      <w:r w:rsidRPr="00DC5659">
        <w:rPr>
          <w:rFonts w:ascii="Book Antiqua" w:hAnsi="Book Antiqua" w:cs="Book Antiqua"/>
          <w:sz w:val="24"/>
          <w:szCs w:val="24"/>
        </w:rPr>
        <w:t xml:space="preserve"> </w:t>
      </w:r>
      <w:r w:rsidRPr="00DC5659">
        <w:rPr>
          <w:rFonts w:ascii="Times New Roman" w:hAnsi="Times New Roman" w:cs="Times New Roman"/>
          <w:sz w:val="24"/>
          <w:szCs w:val="24"/>
        </w:rPr>
        <w:t>w tym: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659">
        <w:rPr>
          <w:rFonts w:ascii="Times New Roman" w:hAnsi="Times New Roman" w:cs="Times New Roman"/>
          <w:sz w:val="24"/>
          <w:szCs w:val="24"/>
        </w:rPr>
        <w:t>- wydatki bieżące bez wydatków na obsługę długu – 15.340.018,00 zł (w tym: na wynagrodzenia i pochodne – 6.373.207,59 zł oraz na wydatki związane z funkcjonowaniem organów JST –1.600.318,00 zł)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659">
        <w:rPr>
          <w:rFonts w:ascii="Times New Roman" w:hAnsi="Times New Roman" w:cs="Times New Roman"/>
          <w:sz w:val="24"/>
          <w:szCs w:val="24"/>
        </w:rPr>
        <w:t>- wydatki bieżące na obsługę długu – 237.000,00 zł;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DC5659">
        <w:rPr>
          <w:rFonts w:ascii="Times New Roman" w:hAnsi="Times New Roman" w:cs="Times New Roman"/>
          <w:sz w:val="24"/>
          <w:szCs w:val="24"/>
        </w:rPr>
        <w:t xml:space="preserve">- wydatki majątkowe – 482.300,00 zł, w tym: na projekty realizowane przy udziale środków, o których mowa w art. 5 ust. 1 pkt 2 i 3 –27.800,00 zł i na wydatki objęte limitem art.226 ust. 3 pkt. 4 </w:t>
      </w:r>
      <w:proofErr w:type="spellStart"/>
      <w:r w:rsidRPr="00DC5659">
        <w:rPr>
          <w:rFonts w:ascii="Times New Roman" w:hAnsi="Times New Roman" w:cs="Times New Roman"/>
          <w:sz w:val="24"/>
          <w:szCs w:val="24"/>
        </w:rPr>
        <w:t>usfp</w:t>
      </w:r>
      <w:proofErr w:type="spellEnd"/>
      <w:r w:rsidRPr="00DC5659">
        <w:rPr>
          <w:rFonts w:ascii="Times New Roman" w:hAnsi="Times New Roman" w:cs="Times New Roman"/>
          <w:sz w:val="24"/>
          <w:szCs w:val="24"/>
        </w:rPr>
        <w:t xml:space="preserve"> – 22.000,00 zł.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sz w:val="24"/>
          <w:szCs w:val="24"/>
        </w:rPr>
        <w:tab/>
        <w:t xml:space="preserve">3. Wynik budżetu  (nadwyżka) wyniesie kwotę 78.465,00 zł </w:t>
      </w:r>
      <w:r w:rsidRPr="00DC5659">
        <w:rPr>
          <w:rFonts w:ascii="Book Antiqua" w:hAnsi="Book Antiqua" w:cs="Book Antiqua"/>
          <w:sz w:val="24"/>
          <w:szCs w:val="24"/>
        </w:rPr>
        <w:t xml:space="preserve">przeznaczony zostanie na spłatę </w:t>
      </w:r>
      <w:r w:rsidRPr="00DC5659">
        <w:rPr>
          <w:rFonts w:ascii="Times New Roman" w:hAnsi="Times New Roman" w:cs="Times New Roman"/>
          <w:sz w:val="24"/>
          <w:szCs w:val="24"/>
        </w:rPr>
        <w:t>wcześniej zaciągniętych zobowiązań z tytułu pożyczek i kredytów.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sz w:val="24"/>
          <w:szCs w:val="24"/>
        </w:rPr>
        <w:t xml:space="preserve">            4. Przychody budżetowe określono na kwotę 150.000,00 zł</w:t>
      </w:r>
      <w:r w:rsidRPr="00DC5659">
        <w:rPr>
          <w:rFonts w:ascii="Book Antiqua" w:hAnsi="Book Antiqua" w:cs="Book Antiqua"/>
          <w:sz w:val="24"/>
          <w:szCs w:val="24"/>
        </w:rPr>
        <w:t xml:space="preserve">, </w:t>
      </w:r>
      <w:r w:rsidRPr="00DC5659">
        <w:rPr>
          <w:rFonts w:ascii="Times New Roman" w:hAnsi="Times New Roman" w:cs="Times New Roman"/>
          <w:sz w:val="24"/>
          <w:szCs w:val="24"/>
        </w:rPr>
        <w:t xml:space="preserve">stanowiące kredyt, który przeznaczony zostanie na </w:t>
      </w:r>
      <w:proofErr w:type="spellStart"/>
      <w:r w:rsidRPr="00DC565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C5659">
        <w:rPr>
          <w:rFonts w:ascii="Times New Roman" w:hAnsi="Times New Roman" w:cs="Times New Roman"/>
          <w:sz w:val="24"/>
          <w:szCs w:val="24"/>
        </w:rPr>
        <w:t xml:space="preserve"> spłatę wcześniej zaciągniętych  zobowiązań z tytułu pożyczek i kredytów. Kwota planowanego kredytu wraz z oprocentowaniem została ujęta w WPF w planowanej kwocie długu. Terminy spłat kredytu ustalono na 3 lata w ratach po 50.000,00 zł.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Book Antiqua" w:hAnsi="Book Antiqua" w:cs="Book Antiqua"/>
          <w:sz w:val="24"/>
          <w:szCs w:val="24"/>
        </w:rPr>
      </w:pPr>
      <w:r w:rsidRPr="00DC5659">
        <w:rPr>
          <w:rFonts w:ascii="Book Antiqua" w:hAnsi="Book Antiqua" w:cs="Book Antiqua"/>
          <w:sz w:val="24"/>
          <w:szCs w:val="24"/>
        </w:rPr>
        <w:tab/>
      </w:r>
      <w:r w:rsidRPr="00DC5659">
        <w:rPr>
          <w:rFonts w:ascii="Book Antiqua" w:hAnsi="Book Antiqua" w:cs="Book Antiqua"/>
          <w:b/>
          <w:bCs/>
          <w:sz w:val="24"/>
          <w:szCs w:val="24"/>
        </w:rPr>
        <w:t>5. Rozchody budżetowe określono na kwotę 228.465,00 zł</w:t>
      </w:r>
      <w:r w:rsidRPr="00DC5659">
        <w:rPr>
          <w:rFonts w:ascii="Book Antiqua" w:hAnsi="Book Antiqua" w:cs="Book Antiqua"/>
          <w:sz w:val="24"/>
          <w:szCs w:val="24"/>
        </w:rPr>
        <w:t xml:space="preserve">, </w:t>
      </w:r>
      <w:r w:rsidRPr="00DC5659">
        <w:rPr>
          <w:rFonts w:ascii="Times New Roman" w:hAnsi="Times New Roman" w:cs="Times New Roman"/>
          <w:sz w:val="24"/>
          <w:szCs w:val="24"/>
        </w:rPr>
        <w:t>które zgodnie z zawartymi umowami stanowią spłatę kredytów i pożyczek zaciągniętych w minionych latach.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sz w:val="24"/>
          <w:szCs w:val="24"/>
        </w:rPr>
        <w:t>6. Kwota długu pozostała do spłaty wyniesie 7.039.290,00 zł</w:t>
      </w:r>
      <w:r w:rsidRPr="00DC5659">
        <w:rPr>
          <w:rFonts w:ascii="Book Antiqua" w:hAnsi="Book Antiqua" w:cs="Book Antiqua"/>
          <w:sz w:val="24"/>
          <w:szCs w:val="24"/>
        </w:rPr>
        <w:t xml:space="preserve">, </w:t>
      </w:r>
      <w:r w:rsidRPr="00DC5659">
        <w:rPr>
          <w:rFonts w:ascii="Times New Roman" w:hAnsi="Times New Roman" w:cs="Times New Roman"/>
          <w:sz w:val="24"/>
          <w:szCs w:val="24"/>
        </w:rPr>
        <w:t>tj. 43,6% ogólnej kwoty dochodów – są to obligacje komunale, kredyty i pożyczki zaciągnięte w minionych latach oraz planowane w roku 2018.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659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Pr="00DC5659">
        <w:rPr>
          <w:rFonts w:ascii="Times New Roman" w:hAnsi="Times New Roman" w:cs="Times New Roman"/>
          <w:sz w:val="24"/>
          <w:szCs w:val="24"/>
        </w:rPr>
        <w:t xml:space="preserve"> </w:t>
      </w:r>
      <w:r w:rsidRPr="00DC5659">
        <w:rPr>
          <w:rFonts w:ascii="Times New Roman" w:hAnsi="Times New Roman" w:cs="Times New Roman"/>
          <w:b/>
          <w:bCs/>
          <w:sz w:val="24"/>
          <w:szCs w:val="24"/>
        </w:rPr>
        <w:t>7. Wskaźnik planowanej łącznej kwoty spłaty zobowiązań</w:t>
      </w:r>
      <w:r w:rsidRPr="00DC5659">
        <w:rPr>
          <w:rFonts w:ascii="Times New Roman" w:hAnsi="Times New Roman" w:cs="Times New Roman"/>
          <w:sz w:val="24"/>
          <w:szCs w:val="24"/>
        </w:rPr>
        <w:t xml:space="preserve"> w 2018 roku (o której mowa w art. 243 ust.1 </w:t>
      </w:r>
      <w:proofErr w:type="spellStart"/>
      <w:r w:rsidRPr="00DC5659">
        <w:rPr>
          <w:rFonts w:ascii="Times New Roman" w:hAnsi="Times New Roman" w:cs="Times New Roman"/>
          <w:sz w:val="24"/>
          <w:szCs w:val="24"/>
        </w:rPr>
        <w:t>uofp</w:t>
      </w:r>
      <w:proofErr w:type="spellEnd"/>
      <w:r w:rsidRPr="00DC5659">
        <w:rPr>
          <w:rFonts w:ascii="Times New Roman" w:hAnsi="Times New Roman" w:cs="Times New Roman"/>
          <w:sz w:val="24"/>
          <w:szCs w:val="24"/>
        </w:rPr>
        <w:t xml:space="preserve"> do dochodów bez uwzględnienia zobowiązań związku współtworzonego przez </w:t>
      </w:r>
      <w:proofErr w:type="spellStart"/>
      <w:r w:rsidRPr="00DC5659">
        <w:rPr>
          <w:rFonts w:ascii="Times New Roman" w:hAnsi="Times New Roman" w:cs="Times New Roman"/>
          <w:sz w:val="24"/>
          <w:szCs w:val="24"/>
        </w:rPr>
        <w:t>jst</w:t>
      </w:r>
      <w:proofErr w:type="spellEnd"/>
      <w:r w:rsidRPr="00DC5659">
        <w:rPr>
          <w:rFonts w:ascii="Times New Roman" w:hAnsi="Times New Roman" w:cs="Times New Roman"/>
          <w:sz w:val="24"/>
          <w:szCs w:val="24"/>
        </w:rPr>
        <w:t xml:space="preserve">. i bez uwzględniania ustawowych </w:t>
      </w:r>
      <w:proofErr w:type="spellStart"/>
      <w:r w:rsidRPr="00DC5659">
        <w:rPr>
          <w:rFonts w:ascii="Times New Roman" w:hAnsi="Times New Roman" w:cs="Times New Roman"/>
          <w:sz w:val="24"/>
          <w:szCs w:val="24"/>
        </w:rPr>
        <w:t>wyłączeń</w:t>
      </w:r>
      <w:proofErr w:type="spellEnd"/>
      <w:r w:rsidRPr="00DC5659">
        <w:rPr>
          <w:rFonts w:ascii="Times New Roman" w:hAnsi="Times New Roman" w:cs="Times New Roman"/>
          <w:sz w:val="24"/>
          <w:szCs w:val="24"/>
        </w:rPr>
        <w:t xml:space="preserve">) wyniesie 2,88%,  Dopuszczalny wskaźnik spłaty zobowiązań określony w art. 234 ustawy, po uwzględnieniu ustawowych </w:t>
      </w:r>
      <w:proofErr w:type="spellStart"/>
      <w:r w:rsidRPr="00DC5659">
        <w:rPr>
          <w:rFonts w:ascii="Times New Roman" w:hAnsi="Times New Roman" w:cs="Times New Roman"/>
          <w:sz w:val="24"/>
          <w:szCs w:val="24"/>
        </w:rPr>
        <w:t>wyłączeń</w:t>
      </w:r>
      <w:proofErr w:type="spellEnd"/>
      <w:r w:rsidRPr="00DC5659">
        <w:rPr>
          <w:rFonts w:ascii="Times New Roman" w:hAnsi="Times New Roman" w:cs="Times New Roman"/>
          <w:sz w:val="24"/>
          <w:szCs w:val="24"/>
        </w:rPr>
        <w:t xml:space="preserve"> obliczony w oparciu o wykonanie roku poprzedzającego pierwszy rok prognozy wyniesie 3,42 %. Jednoroczny wskaźnik dochodów wynosi 3,47%.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659">
        <w:rPr>
          <w:rFonts w:ascii="Times New Roman" w:hAnsi="Times New Roman" w:cs="Times New Roman"/>
          <w:sz w:val="24"/>
          <w:szCs w:val="24"/>
        </w:rPr>
        <w:t>Przy kształtowaniu poziomu dochodów i wydatków na lata następne kierowano się prognozowanym tempem wzrostu gospodarczego i poziomem inflacji.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DC5659">
        <w:rPr>
          <w:rFonts w:ascii="Times New Roman" w:hAnsi="Times New Roman" w:cs="Times New Roman"/>
          <w:sz w:val="24"/>
          <w:szCs w:val="24"/>
        </w:rPr>
        <w:t>Planuje się aby budżet Gminy Krzynowłoga Mała na koniec każdego roku zamykał się nadwyżką budżetową, która będzie przeznaczona na spłatę wcześniej zaciągniętych zobowiązań.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center"/>
        <w:rPr>
          <w:rFonts w:ascii="Book Antiqua" w:hAnsi="Book Antiqua" w:cs="Book Antiqua"/>
          <w:b/>
          <w:bCs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sz w:val="24"/>
          <w:szCs w:val="24"/>
        </w:rPr>
        <w:t>PRZEDSIĘWZIĘCIA KONTYNUOWANE W ROKU 2018</w:t>
      </w:r>
    </w:p>
    <w:p w:rsidR="00DC5659" w:rsidRPr="00DC5659" w:rsidRDefault="00DC5659" w:rsidP="00DC5659">
      <w:pPr>
        <w:numPr>
          <w:ilvl w:val="0"/>
          <w:numId w:val="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Book Antiqua" w:hAnsi="Book Antiqua" w:cs="Book Antiqua"/>
          <w:b/>
          <w:bCs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sz w:val="24"/>
          <w:szCs w:val="24"/>
        </w:rPr>
        <w:lastRenderedPageBreak/>
        <w:t>WYDATKI MAJĄTKOWE</w:t>
      </w:r>
    </w:p>
    <w:p w:rsidR="00DC5659" w:rsidRPr="00DC5659" w:rsidRDefault="00DC5659" w:rsidP="00DC5659">
      <w:pPr>
        <w:widowControl w:val="0"/>
        <w:tabs>
          <w:tab w:val="left" w:pos="204"/>
          <w:tab w:val="left" w:pos="9075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</w:p>
    <w:p w:rsidR="00DC5659" w:rsidRPr="00DC5659" w:rsidRDefault="00DC5659" w:rsidP="00DC5659">
      <w:pPr>
        <w:widowControl w:val="0"/>
        <w:tabs>
          <w:tab w:val="left" w:pos="204"/>
          <w:tab w:val="left" w:pos="9075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b/>
          <w:bCs/>
          <w:i/>
          <w:iCs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i/>
          <w:iCs/>
          <w:sz w:val="24"/>
          <w:szCs w:val="24"/>
        </w:rPr>
        <w:t xml:space="preserve">1.1.    Projekty, programy i zadania związane z programami realizowanymi z udziałem środków, o których mowa  w art. 5 ust.1 pkt 1 i 2 </w:t>
      </w:r>
      <w:proofErr w:type="spellStart"/>
      <w:r w:rsidRPr="00DC5659">
        <w:rPr>
          <w:rFonts w:ascii="Book Antiqua" w:hAnsi="Book Antiqua" w:cs="Book Antiqua"/>
          <w:b/>
          <w:bCs/>
          <w:i/>
          <w:iCs/>
          <w:sz w:val="24"/>
          <w:szCs w:val="24"/>
        </w:rPr>
        <w:t>uofp</w:t>
      </w:r>
      <w:proofErr w:type="spellEnd"/>
      <w:r w:rsidRPr="00DC5659">
        <w:rPr>
          <w:rFonts w:ascii="Book Antiqua" w:hAnsi="Book Antiqua" w:cs="Book Antiqua"/>
          <w:b/>
          <w:bCs/>
          <w:i/>
          <w:iCs/>
          <w:sz w:val="24"/>
          <w:szCs w:val="24"/>
        </w:rPr>
        <w:t>.</w:t>
      </w:r>
    </w:p>
    <w:p w:rsidR="00DC5659" w:rsidRPr="00DC5659" w:rsidRDefault="00DC5659" w:rsidP="00DC5659">
      <w:pPr>
        <w:widowControl w:val="0"/>
        <w:tabs>
          <w:tab w:val="left" w:pos="204"/>
          <w:tab w:val="left" w:pos="9075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b/>
          <w:bCs/>
          <w:i/>
          <w:iCs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i/>
          <w:iCs/>
          <w:sz w:val="24"/>
          <w:szCs w:val="24"/>
        </w:rPr>
        <w:t>1.1.1.</w:t>
      </w:r>
    </w:p>
    <w:p w:rsidR="00DC5659" w:rsidRPr="00DC5659" w:rsidRDefault="00DC5659" w:rsidP="00DC5659">
      <w:pPr>
        <w:widowControl w:val="0"/>
        <w:tabs>
          <w:tab w:val="left" w:pos="204"/>
          <w:tab w:val="left" w:pos="9075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b/>
          <w:bCs/>
          <w:i/>
          <w:iCs/>
          <w:sz w:val="24"/>
          <w:szCs w:val="24"/>
        </w:rPr>
      </w:pPr>
      <w:r w:rsidRPr="00DC5659">
        <w:rPr>
          <w:rFonts w:ascii="Book Antiqua" w:hAnsi="Book Antiqua" w:cs="Book Antiqua"/>
          <w:sz w:val="24"/>
          <w:szCs w:val="24"/>
        </w:rPr>
        <w:t xml:space="preserve">- </w:t>
      </w:r>
      <w:r w:rsidRPr="00DC5659">
        <w:rPr>
          <w:rFonts w:ascii="Times New Roman" w:hAnsi="Times New Roman" w:cs="Times New Roman"/>
          <w:sz w:val="24"/>
          <w:szCs w:val="24"/>
        </w:rPr>
        <w:t>Budowa systemu wczesnego ostrzegania przed zjawiskami katastrofalnymi złożonego z zestawu syren alarmowych wraz z wyposażeniem- mające na celu poprawę bezpieczeństwa mieszkańców gminy Krzynowłoga Mała. Limit wydatków bieżących przedsięwzięcia planowanego do realizacji w latach 2016-2018 zamyka się kwotą 200 zł.</w:t>
      </w:r>
      <w:r w:rsidRPr="00DC5659">
        <w:rPr>
          <w:rFonts w:ascii="Book Antiqua" w:hAnsi="Book Antiqua" w:cs="Book Antiqua"/>
          <w:i/>
          <w:iCs/>
          <w:sz w:val="24"/>
          <w:szCs w:val="24"/>
        </w:rPr>
        <w:t>(2018 r. –200,00zł).</w:t>
      </w:r>
    </w:p>
    <w:p w:rsidR="00DC5659" w:rsidRPr="00DC5659" w:rsidRDefault="00DC5659" w:rsidP="00DC5659">
      <w:pPr>
        <w:widowControl w:val="0"/>
        <w:tabs>
          <w:tab w:val="left" w:pos="10395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sz w:val="24"/>
          <w:szCs w:val="24"/>
        </w:rPr>
        <w:t>1.1.2</w:t>
      </w:r>
      <w:r w:rsidRPr="00DC5659">
        <w:rPr>
          <w:rFonts w:ascii="Book Antiqua" w:hAnsi="Book Antiqua" w:cs="Book Antiqua"/>
          <w:sz w:val="24"/>
          <w:szCs w:val="24"/>
        </w:rPr>
        <w:t>.</w:t>
      </w:r>
      <w:r w:rsidRPr="00DC5659">
        <w:rPr>
          <w:rFonts w:ascii="Calibri" w:hAnsi="Calibri" w:cs="Calibri"/>
          <w:sz w:val="24"/>
          <w:szCs w:val="24"/>
        </w:rPr>
        <w:t xml:space="preserve"> </w:t>
      </w:r>
    </w:p>
    <w:p w:rsidR="00DC5659" w:rsidRPr="00DC5659" w:rsidRDefault="00DC5659" w:rsidP="00DC5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5659">
        <w:rPr>
          <w:rFonts w:ascii="Book Antiqua" w:hAnsi="Book Antiqua" w:cs="Book Antiqua"/>
          <w:sz w:val="24"/>
          <w:szCs w:val="24"/>
        </w:rPr>
        <w:t xml:space="preserve">- </w:t>
      </w:r>
      <w:r w:rsidRPr="00DC5659">
        <w:rPr>
          <w:rFonts w:ascii="Times New Roman" w:hAnsi="Times New Roman" w:cs="Times New Roman"/>
          <w:sz w:val="24"/>
          <w:szCs w:val="24"/>
        </w:rPr>
        <w:t xml:space="preserve">Budowa systemu wczesnego ostrzegania przed zjawiskami katastrofalnymi złożonego z zestawu syren alarmowych wraz z wyposażeniem- mające na celu poprawę bezpieczeństwa mieszkańców gminy Krzynowłoga Mała. Limit wydatków majątkowych przedsięwzięcia planowanego do realizacji w latach 2016-2018 zamyka się kwotą 27.800 zł. </w:t>
      </w:r>
      <w:r w:rsidRPr="00DC5659">
        <w:rPr>
          <w:rFonts w:ascii="Book Antiqua" w:hAnsi="Book Antiqua" w:cs="Book Antiqua"/>
          <w:i/>
          <w:iCs/>
          <w:sz w:val="24"/>
          <w:szCs w:val="24"/>
        </w:rPr>
        <w:t>(2018 r. –27.800,00zł).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b/>
          <w:bCs/>
          <w:i/>
          <w:iCs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sz w:val="24"/>
          <w:szCs w:val="24"/>
        </w:rPr>
        <w:t xml:space="preserve">1.3. </w:t>
      </w:r>
      <w:r w:rsidRPr="00DC5659">
        <w:rPr>
          <w:rFonts w:ascii="Book Antiqua" w:hAnsi="Book Antiqua" w:cs="Book Antiqua"/>
          <w:b/>
          <w:bCs/>
          <w:i/>
          <w:iCs/>
          <w:sz w:val="24"/>
          <w:szCs w:val="24"/>
        </w:rPr>
        <w:t>Projekty, programy i zadania pozostałe</w:t>
      </w:r>
    </w:p>
    <w:p w:rsidR="00DC5659" w:rsidRPr="00DC5659" w:rsidRDefault="00DC5659" w:rsidP="00DC5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C5659">
        <w:rPr>
          <w:rFonts w:ascii="Times New Roman" w:hAnsi="Times New Roman" w:cs="Times New Roman"/>
          <w:b/>
          <w:bCs/>
          <w:sz w:val="24"/>
          <w:szCs w:val="24"/>
        </w:rPr>
        <w:t xml:space="preserve">1.3.1. </w:t>
      </w:r>
    </w:p>
    <w:p w:rsidR="00DC5659" w:rsidRPr="00DC5659" w:rsidRDefault="00DC5659" w:rsidP="00DC565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5659">
        <w:rPr>
          <w:rFonts w:ascii="Times New Roman" w:hAnsi="Times New Roman" w:cs="Times New Roman"/>
          <w:color w:val="000000"/>
          <w:sz w:val="24"/>
          <w:szCs w:val="24"/>
        </w:rPr>
        <w:t xml:space="preserve">- Forum </w:t>
      </w:r>
      <w:proofErr w:type="spellStart"/>
      <w:r w:rsidRPr="00DC5659">
        <w:rPr>
          <w:rFonts w:ascii="Times New Roman" w:hAnsi="Times New Roman" w:cs="Times New Roman"/>
          <w:color w:val="000000"/>
          <w:sz w:val="24"/>
          <w:szCs w:val="24"/>
        </w:rPr>
        <w:t>Sektretarzy</w:t>
      </w:r>
      <w:proofErr w:type="spellEnd"/>
      <w:r w:rsidRPr="00DC5659">
        <w:rPr>
          <w:rFonts w:ascii="Times New Roman" w:hAnsi="Times New Roman" w:cs="Times New Roman"/>
          <w:color w:val="000000"/>
          <w:sz w:val="24"/>
          <w:szCs w:val="24"/>
        </w:rPr>
        <w:t xml:space="preserve"> - przedsięwzięcie, którego celem jest organizacja szkoleń w ramach kształcenia ustawicznego. Zadanie realizowane w latach 2015 - 2018 w łącznej kwocie 7.920,00 zł, w tym w roku 2018 - 1.980,00 zł.</w:t>
      </w:r>
    </w:p>
    <w:p w:rsidR="00DC5659" w:rsidRPr="00DC5659" w:rsidRDefault="00DC5659" w:rsidP="00DC565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5659">
        <w:rPr>
          <w:rFonts w:ascii="Times New Roman" w:hAnsi="Times New Roman" w:cs="Times New Roman"/>
          <w:color w:val="000000"/>
          <w:sz w:val="24"/>
          <w:szCs w:val="24"/>
        </w:rPr>
        <w:t>- Studium uwarunkowań i kierunków zagospodarowania przestrzennego Gminy Krzynowłoga Mała- przedsięwzięcie mające na celu przygotowanie i opracowanie dokumentacji. Zadanie realizowane w latach 2016 - 2018 w łącznej kwocie 49.000,00 zł, w tym w roku 2018 - 14.700,00 zł.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DC5659">
        <w:rPr>
          <w:rFonts w:ascii="Book Antiqua" w:hAnsi="Book Antiqua" w:cs="Book Antiqua"/>
          <w:b/>
          <w:bCs/>
          <w:sz w:val="24"/>
          <w:szCs w:val="24"/>
        </w:rPr>
        <w:t xml:space="preserve">1.3.2. </w:t>
      </w:r>
    </w:p>
    <w:p w:rsidR="00DC5659" w:rsidRPr="00DC5659" w:rsidRDefault="00DC5659" w:rsidP="00DC5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C5659">
        <w:rPr>
          <w:rFonts w:ascii="Book Antiqua" w:hAnsi="Book Antiqua" w:cs="Book Antiqua"/>
          <w:sz w:val="24"/>
          <w:szCs w:val="24"/>
        </w:rPr>
        <w:t xml:space="preserve">- </w:t>
      </w:r>
      <w:r w:rsidRPr="00DC5659">
        <w:rPr>
          <w:rFonts w:ascii="Times New Roman" w:hAnsi="Times New Roman" w:cs="Times New Roman"/>
          <w:sz w:val="24"/>
          <w:szCs w:val="24"/>
        </w:rPr>
        <w:t>Rozbudowa oświetlenia ulicznego w miejscowości Krzynowłoga Mała</w:t>
      </w:r>
      <w:r w:rsidRPr="00DC5659">
        <w:rPr>
          <w:rFonts w:ascii="Book Antiqua" w:hAnsi="Book Antiqua" w:cs="Book Antiqua"/>
          <w:sz w:val="24"/>
          <w:szCs w:val="24"/>
        </w:rPr>
        <w:t xml:space="preserve">- </w:t>
      </w:r>
      <w:r w:rsidRPr="00DC5659">
        <w:rPr>
          <w:rFonts w:ascii="Times New Roman" w:hAnsi="Times New Roman" w:cs="Times New Roman"/>
          <w:sz w:val="24"/>
          <w:szCs w:val="24"/>
        </w:rPr>
        <w:t xml:space="preserve">zwiększenie bezpieczeństwa mieszkańców. Przedsięwzięcie realizowane w latach 2017-2018 w łącznej kwocie 26.000,00 zł. w tym w roku </w:t>
      </w:r>
      <w:r w:rsidRPr="00DC5659">
        <w:rPr>
          <w:rFonts w:ascii="Times New Roman" w:hAnsi="Times New Roman" w:cs="Times New Roman"/>
          <w:i/>
          <w:iCs/>
          <w:sz w:val="24"/>
          <w:szCs w:val="24"/>
        </w:rPr>
        <w:t xml:space="preserve"> 2018 r. – 22.000,00zł.</w:t>
      </w:r>
    </w:p>
    <w:p w:rsidR="00DC5659" w:rsidRDefault="00DC5659" w:rsidP="00DC5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F476F2" w:rsidRDefault="00F476F2" w:rsidP="00DC5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F476F2" w:rsidRPr="00DC5659" w:rsidRDefault="00F476F2" w:rsidP="00DC5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DC5659" w:rsidRPr="00F476F2" w:rsidRDefault="00F476F2" w:rsidP="00F476F2">
      <w:pPr>
        <w:ind w:left="4248" w:firstLine="708"/>
        <w:rPr>
          <w:b/>
        </w:rPr>
      </w:pPr>
      <w:r w:rsidRPr="00F476F2">
        <w:rPr>
          <w:b/>
        </w:rPr>
        <w:t xml:space="preserve">Przewodniczący Rady Gminy </w:t>
      </w:r>
    </w:p>
    <w:p w:rsidR="00F476F2" w:rsidRPr="00F476F2" w:rsidRDefault="00F476F2" w:rsidP="00F476F2">
      <w:pPr>
        <w:ind w:left="4248" w:firstLine="708"/>
        <w:rPr>
          <w:b/>
        </w:rPr>
      </w:pPr>
      <w:bookmarkStart w:id="0" w:name="_GoBack"/>
      <w:bookmarkEnd w:id="0"/>
      <w:r w:rsidRPr="00F476F2">
        <w:rPr>
          <w:b/>
        </w:rPr>
        <w:t xml:space="preserve">      /-/ Bogdan Stryjewski </w:t>
      </w:r>
    </w:p>
    <w:sectPr w:rsidR="00F476F2" w:rsidRPr="00F476F2" w:rsidSect="00E73E7E">
      <w:pgSz w:w="11906" w:h="16838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848"/>
    <w:rsid w:val="008A67EF"/>
    <w:rsid w:val="00AB4848"/>
    <w:rsid w:val="00DC5659"/>
    <w:rsid w:val="00F4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5EB456-C5C3-461B-8A1B-80B9BEF82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AB484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rsid w:val="00AB4848"/>
    <w:pPr>
      <w:autoSpaceDE w:val="0"/>
      <w:autoSpaceDN w:val="0"/>
      <w:adjustRightInd w:val="0"/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DC5659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</w:rPr>
  </w:style>
  <w:style w:type="paragraph" w:styleId="Tekstpodstawowywcity2">
    <w:name w:val="Body Text Indent 2"/>
    <w:basedOn w:val="Normalny"/>
    <w:link w:val="Tekstpodstawowywcity2Znak"/>
    <w:uiPriority w:val="99"/>
    <w:rsid w:val="00DC5659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C565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863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2018-01-15T13:33:00Z</dcterms:created>
  <dcterms:modified xsi:type="dcterms:W3CDTF">2018-01-15T13:33:00Z</dcterms:modified>
</cp:coreProperties>
</file>